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5603C" w14:textId="2A0F5952" w:rsidR="001A542D" w:rsidRPr="001A542D" w:rsidRDefault="001A542D" w:rsidP="001A542D">
      <w:pPr>
        <w:pStyle w:val="CoversheetStaticText"/>
        <w:rPr>
          <w:b/>
          <w:sz w:val="23"/>
          <w:szCs w:val="23"/>
        </w:rPr>
      </w:pPr>
      <w:r w:rsidRPr="001A542D">
        <w:rPr>
          <w:noProof/>
          <w:sz w:val="23"/>
          <w:szCs w:val="23"/>
        </w:rPr>
        <w:drawing>
          <wp:inline distT="0" distB="0" distL="0" distR="0" wp14:anchorId="3F05A1EC" wp14:editId="5621ADC1">
            <wp:extent cx="1466343" cy="1733660"/>
            <wp:effectExtent l="0" t="0" r="635" b="0"/>
            <wp:docPr id="3" name="Picture 3" descr="A blue and white badge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badge with a crow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0444" cy="1738509"/>
                    </a:xfrm>
                    <a:prstGeom prst="rect">
                      <a:avLst/>
                    </a:prstGeom>
                    <a:noFill/>
                    <a:ln>
                      <a:noFill/>
                    </a:ln>
                  </pic:spPr>
                </pic:pic>
              </a:graphicData>
            </a:graphic>
          </wp:inline>
        </w:drawing>
      </w:r>
    </w:p>
    <w:p w14:paraId="3DE64325" w14:textId="51D50232" w:rsidR="001A542D" w:rsidRPr="001A542D" w:rsidRDefault="001A542D" w:rsidP="001F5845">
      <w:pPr>
        <w:pStyle w:val="CoversheetStaticText"/>
        <w:rPr>
          <w:b/>
          <w:sz w:val="23"/>
          <w:szCs w:val="23"/>
        </w:rPr>
      </w:pPr>
      <w:r w:rsidRPr="001A542D">
        <w:rPr>
          <w:b/>
          <w:sz w:val="23"/>
          <w:szCs w:val="23"/>
        </w:rPr>
        <w:t>CUMBRIA CONSTABULARY</w:t>
      </w:r>
    </w:p>
    <w:p w14:paraId="1DF4B8B2" w14:textId="236D947D" w:rsidR="00FB1B7F" w:rsidRPr="001A542D" w:rsidRDefault="001A542D" w:rsidP="001F5845">
      <w:pPr>
        <w:pStyle w:val="CoversheetStaticText"/>
        <w:pBdr>
          <w:bottom w:val="single" w:sz="12" w:space="1" w:color="auto"/>
        </w:pBdr>
        <w:rPr>
          <w:b/>
          <w:sz w:val="23"/>
          <w:szCs w:val="23"/>
        </w:rPr>
      </w:pPr>
      <w:r w:rsidRPr="001A542D">
        <w:rPr>
          <w:b/>
          <w:sz w:val="23"/>
          <w:szCs w:val="23"/>
        </w:rPr>
        <w:t>LEGAL MANDATE</w:t>
      </w:r>
    </w:p>
    <w:p w14:paraId="1A2D1362" w14:textId="1849E01F" w:rsidR="001A542D" w:rsidRDefault="001A542D" w:rsidP="001A542D">
      <w:pPr>
        <w:pStyle w:val="CoversheetStaticText"/>
        <w:pBdr>
          <w:bottom w:val="single" w:sz="12" w:space="1" w:color="auto"/>
        </w:pBdr>
        <w:rPr>
          <w:b/>
          <w:sz w:val="23"/>
          <w:szCs w:val="23"/>
        </w:rPr>
      </w:pPr>
      <w:r w:rsidRPr="001A542D">
        <w:rPr>
          <w:b/>
          <w:sz w:val="23"/>
          <w:szCs w:val="23"/>
        </w:rPr>
        <w:t>DEPLOYMENT OF OVERT LIVE FACIAL RECOGNITION (</w:t>
      </w:r>
      <w:r w:rsidR="0049710B">
        <w:rPr>
          <w:b/>
          <w:sz w:val="23"/>
          <w:szCs w:val="23"/>
        </w:rPr>
        <w:t>“</w:t>
      </w:r>
      <w:r w:rsidRPr="001A542D">
        <w:rPr>
          <w:b/>
          <w:sz w:val="23"/>
          <w:szCs w:val="23"/>
        </w:rPr>
        <w:t>LFR</w:t>
      </w:r>
      <w:r w:rsidR="0049710B">
        <w:rPr>
          <w:b/>
          <w:sz w:val="23"/>
          <w:szCs w:val="23"/>
        </w:rPr>
        <w:t>”</w:t>
      </w:r>
      <w:r w:rsidRPr="001A542D">
        <w:rPr>
          <w:b/>
          <w:sz w:val="23"/>
          <w:szCs w:val="23"/>
        </w:rPr>
        <w:t>) TECHNOLOGY</w:t>
      </w:r>
    </w:p>
    <w:p w14:paraId="5E4E7E7C" w14:textId="77777777" w:rsidR="00BE1FCC" w:rsidRPr="001A542D" w:rsidRDefault="00BE1FCC" w:rsidP="001A542D">
      <w:pPr>
        <w:pStyle w:val="CoversheetStaticText"/>
        <w:pBdr>
          <w:bottom w:val="single" w:sz="12" w:space="1" w:color="auto"/>
        </w:pBdr>
        <w:rPr>
          <w:b/>
          <w:sz w:val="23"/>
          <w:szCs w:val="23"/>
        </w:rPr>
      </w:pPr>
    </w:p>
    <w:tbl>
      <w:tblPr>
        <w:tblStyle w:val="TableGrid"/>
        <w:tblW w:w="0" w:type="auto"/>
        <w:tblLook w:val="04A0" w:firstRow="1" w:lastRow="0" w:firstColumn="1" w:lastColumn="0" w:noHBand="0" w:noVBand="1"/>
      </w:tblPr>
      <w:tblGrid>
        <w:gridCol w:w="2337"/>
        <w:gridCol w:w="2337"/>
        <w:gridCol w:w="2338"/>
        <w:gridCol w:w="2338"/>
      </w:tblGrid>
      <w:tr w:rsidR="001A542D" w14:paraId="5407D430" w14:textId="77777777" w:rsidTr="00C01ED1">
        <w:trPr>
          <w:trHeight w:val="1361"/>
        </w:trPr>
        <w:tc>
          <w:tcPr>
            <w:tcW w:w="2337" w:type="dxa"/>
            <w:shd w:val="clear" w:color="auto" w:fill="DBE5F1" w:themeFill="accent1" w:themeFillTint="33"/>
          </w:tcPr>
          <w:p w14:paraId="4AEC9079" w14:textId="5F937839" w:rsidR="001A542D" w:rsidRDefault="001A542D" w:rsidP="001A542D">
            <w:pPr>
              <w:pStyle w:val="CoversheetStaticText"/>
              <w:rPr>
                <w:b/>
                <w:sz w:val="23"/>
                <w:szCs w:val="23"/>
              </w:rPr>
            </w:pPr>
            <w:r>
              <w:rPr>
                <w:b/>
                <w:sz w:val="23"/>
                <w:szCs w:val="23"/>
              </w:rPr>
              <w:t>Version Number</w:t>
            </w:r>
          </w:p>
        </w:tc>
        <w:tc>
          <w:tcPr>
            <w:tcW w:w="2337" w:type="dxa"/>
            <w:shd w:val="clear" w:color="auto" w:fill="DBE5F1" w:themeFill="accent1" w:themeFillTint="33"/>
          </w:tcPr>
          <w:p w14:paraId="706F3F0E" w14:textId="106C157B" w:rsidR="001A542D" w:rsidRDefault="001A542D" w:rsidP="001A542D">
            <w:pPr>
              <w:pStyle w:val="CoversheetStaticText"/>
              <w:rPr>
                <w:b/>
                <w:sz w:val="23"/>
                <w:szCs w:val="23"/>
              </w:rPr>
            </w:pPr>
            <w:r>
              <w:rPr>
                <w:b/>
                <w:sz w:val="23"/>
                <w:szCs w:val="23"/>
              </w:rPr>
              <w:t>Date</w:t>
            </w:r>
          </w:p>
        </w:tc>
        <w:tc>
          <w:tcPr>
            <w:tcW w:w="2338" w:type="dxa"/>
            <w:shd w:val="clear" w:color="auto" w:fill="DBE5F1" w:themeFill="accent1" w:themeFillTint="33"/>
          </w:tcPr>
          <w:p w14:paraId="76D2F8C3" w14:textId="3A115CED" w:rsidR="001A542D" w:rsidRDefault="00C01ED1" w:rsidP="001A542D">
            <w:pPr>
              <w:pStyle w:val="CoversheetStaticText"/>
              <w:rPr>
                <w:b/>
                <w:sz w:val="23"/>
                <w:szCs w:val="23"/>
              </w:rPr>
            </w:pPr>
            <w:r>
              <w:rPr>
                <w:b/>
                <w:sz w:val="23"/>
                <w:szCs w:val="23"/>
              </w:rPr>
              <w:t>Summary of Changes</w:t>
            </w:r>
          </w:p>
        </w:tc>
        <w:tc>
          <w:tcPr>
            <w:tcW w:w="2338" w:type="dxa"/>
            <w:shd w:val="clear" w:color="auto" w:fill="DBE5F1" w:themeFill="accent1" w:themeFillTint="33"/>
          </w:tcPr>
          <w:p w14:paraId="169E5AA3" w14:textId="1C0AA09B" w:rsidR="001A542D" w:rsidRDefault="00C01ED1" w:rsidP="001A542D">
            <w:pPr>
              <w:pStyle w:val="CoversheetStaticText"/>
              <w:rPr>
                <w:b/>
                <w:sz w:val="23"/>
                <w:szCs w:val="23"/>
              </w:rPr>
            </w:pPr>
            <w:r>
              <w:rPr>
                <w:b/>
                <w:sz w:val="23"/>
                <w:szCs w:val="23"/>
              </w:rPr>
              <w:t>Author</w:t>
            </w:r>
          </w:p>
        </w:tc>
      </w:tr>
      <w:tr w:rsidR="001A542D" w14:paraId="349F38FF" w14:textId="77777777" w:rsidTr="001A542D">
        <w:tc>
          <w:tcPr>
            <w:tcW w:w="2337" w:type="dxa"/>
          </w:tcPr>
          <w:p w14:paraId="4B641F63" w14:textId="77AA3D47" w:rsidR="001A542D" w:rsidRDefault="001A542D" w:rsidP="001A542D">
            <w:pPr>
              <w:pStyle w:val="CoversheetStaticText"/>
              <w:rPr>
                <w:b/>
                <w:sz w:val="23"/>
                <w:szCs w:val="23"/>
              </w:rPr>
            </w:pPr>
            <w:r>
              <w:rPr>
                <w:b/>
                <w:sz w:val="23"/>
                <w:szCs w:val="23"/>
              </w:rPr>
              <w:t>1.0</w:t>
            </w:r>
          </w:p>
        </w:tc>
        <w:tc>
          <w:tcPr>
            <w:tcW w:w="2337" w:type="dxa"/>
          </w:tcPr>
          <w:p w14:paraId="5B14ECA9" w14:textId="38C12F81" w:rsidR="001A542D" w:rsidRDefault="00C01ED1" w:rsidP="001A542D">
            <w:pPr>
              <w:pStyle w:val="CoversheetStaticText"/>
              <w:rPr>
                <w:b/>
                <w:sz w:val="23"/>
                <w:szCs w:val="23"/>
              </w:rPr>
            </w:pPr>
            <w:r>
              <w:rPr>
                <w:b/>
                <w:sz w:val="23"/>
                <w:szCs w:val="23"/>
              </w:rPr>
              <w:t>[</w:t>
            </w:r>
            <w:r w:rsidR="00524716">
              <w:rPr>
                <w:b/>
                <w:sz w:val="23"/>
                <w:szCs w:val="23"/>
              </w:rPr>
              <w:t>2</w:t>
            </w:r>
            <w:r w:rsidR="00C74E68">
              <w:rPr>
                <w:b/>
                <w:sz w:val="23"/>
                <w:szCs w:val="23"/>
              </w:rPr>
              <w:t>1</w:t>
            </w:r>
            <w:r>
              <w:rPr>
                <w:b/>
                <w:sz w:val="23"/>
                <w:szCs w:val="23"/>
              </w:rPr>
              <w:t xml:space="preserve"> January 2026]</w:t>
            </w:r>
          </w:p>
        </w:tc>
        <w:tc>
          <w:tcPr>
            <w:tcW w:w="2338" w:type="dxa"/>
          </w:tcPr>
          <w:p w14:paraId="4CC7E51D" w14:textId="3F9725F3" w:rsidR="001A542D" w:rsidRDefault="00C01ED1" w:rsidP="001A542D">
            <w:pPr>
              <w:pStyle w:val="CoversheetStaticText"/>
              <w:rPr>
                <w:b/>
                <w:sz w:val="23"/>
                <w:szCs w:val="23"/>
              </w:rPr>
            </w:pPr>
            <w:r>
              <w:rPr>
                <w:b/>
                <w:sz w:val="23"/>
                <w:szCs w:val="23"/>
              </w:rPr>
              <w:t>First Draft</w:t>
            </w:r>
          </w:p>
        </w:tc>
        <w:tc>
          <w:tcPr>
            <w:tcW w:w="2338" w:type="dxa"/>
          </w:tcPr>
          <w:p w14:paraId="2BAD5B95" w14:textId="3FBE2CB5" w:rsidR="001A542D" w:rsidRDefault="00C01ED1" w:rsidP="001A542D">
            <w:pPr>
              <w:pStyle w:val="CoversheetStaticText"/>
              <w:rPr>
                <w:b/>
                <w:sz w:val="23"/>
                <w:szCs w:val="23"/>
              </w:rPr>
            </w:pPr>
            <w:r>
              <w:rPr>
                <w:b/>
                <w:sz w:val="23"/>
                <w:szCs w:val="23"/>
              </w:rPr>
              <w:t>Harry Colwell (Legal)</w:t>
            </w:r>
          </w:p>
        </w:tc>
      </w:tr>
    </w:tbl>
    <w:p w14:paraId="1F6E83F7" w14:textId="77777777" w:rsidR="00BE1FCC" w:rsidRDefault="00BE1FCC" w:rsidP="00BE1FCC">
      <w:pPr>
        <w:ind w:left="10" w:right="165" w:hanging="10"/>
        <w:jc w:val="both"/>
        <w:rPr>
          <w:b/>
          <w:sz w:val="23"/>
          <w:szCs w:val="23"/>
        </w:rPr>
      </w:pPr>
    </w:p>
    <w:p w14:paraId="67EA01E7" w14:textId="2463B048" w:rsidR="00BE1FCC" w:rsidRPr="00BE1FCC" w:rsidRDefault="00BE1FCC" w:rsidP="00BE1FCC">
      <w:pPr>
        <w:ind w:left="10" w:right="165" w:hanging="10"/>
        <w:jc w:val="both"/>
        <w:rPr>
          <w:rFonts w:ascii="Arial" w:hAnsi="Arial" w:cs="Arial"/>
          <w:sz w:val="20"/>
          <w:szCs w:val="20"/>
        </w:rPr>
      </w:pPr>
      <w:r>
        <w:rPr>
          <w:b/>
          <w:sz w:val="23"/>
          <w:szCs w:val="23"/>
        </w:rPr>
        <w:tab/>
      </w:r>
      <w:r w:rsidRPr="00BE1FCC">
        <w:rPr>
          <w:rFonts w:ascii="Arial" w:hAnsi="Arial" w:cs="Arial"/>
          <w:i/>
          <w:sz w:val="20"/>
          <w:szCs w:val="20"/>
        </w:rPr>
        <w:t>This Legal Mandate will be subject to periodic review. It may be amended as the law and technology (amongst other things) develop further, or as matters relating to LFR. It is anticipated that circumstances may arise which fall outside of the scope of this Legal Mandate. In such circumstances legal advice should be sought from the Legal Services in the first instance.</w:t>
      </w:r>
    </w:p>
    <w:p w14:paraId="3E4263F9" w14:textId="1757F521" w:rsidR="001A542D" w:rsidRDefault="00BE1FCC" w:rsidP="00BE1FCC">
      <w:pPr>
        <w:pStyle w:val="CoversheetStaticText"/>
        <w:pBdr>
          <w:bottom w:val="single" w:sz="12" w:space="1" w:color="auto"/>
        </w:pBdr>
        <w:tabs>
          <w:tab w:val="left" w:pos="270"/>
          <w:tab w:val="center" w:pos="4680"/>
        </w:tabs>
        <w:jc w:val="left"/>
        <w:rPr>
          <w:b/>
          <w:sz w:val="23"/>
          <w:szCs w:val="23"/>
        </w:rPr>
      </w:pPr>
      <w:r>
        <w:rPr>
          <w:b/>
          <w:sz w:val="23"/>
          <w:szCs w:val="23"/>
        </w:rPr>
        <w:tab/>
      </w:r>
    </w:p>
    <w:p w14:paraId="2C04A87C" w14:textId="2C9CE5EA" w:rsidR="00BE1FCC" w:rsidRPr="00BE1FCC" w:rsidRDefault="00BE1FCC" w:rsidP="00BE1FCC">
      <w:pPr>
        <w:sectPr w:rsidR="00BE1FCC" w:rsidRPr="00BE1FCC" w:rsidSect="001A542D">
          <w:headerReference w:type="default" r:id="rId16"/>
          <w:type w:val="continuous"/>
          <w:pgSz w:w="12240" w:h="15840"/>
          <w:pgMar w:top="1440" w:right="1440" w:bottom="1440" w:left="1440" w:header="720" w:footer="720" w:gutter="0"/>
          <w:cols w:space="720"/>
        </w:sectPr>
      </w:pPr>
    </w:p>
    <w:p w14:paraId="3CB3E813" w14:textId="77777777" w:rsidR="001A542D" w:rsidRPr="00AB6AFC" w:rsidRDefault="001A542D" w:rsidP="00BE1FCC">
      <w:pPr>
        <w:pStyle w:val="CoversheetStaticText"/>
        <w:pBdr>
          <w:bottom w:val="single" w:sz="12" w:space="1" w:color="auto"/>
        </w:pBdr>
        <w:jc w:val="left"/>
        <w:rPr>
          <w:b/>
          <w:sz w:val="23"/>
          <w:szCs w:val="23"/>
        </w:rPr>
      </w:pPr>
    </w:p>
    <w:p w14:paraId="1DF4B8BA" w14:textId="77777777" w:rsidR="00FB1B7F" w:rsidRPr="00AB6AFC" w:rsidRDefault="00403536" w:rsidP="001F5845">
      <w:pPr>
        <w:pStyle w:val="HeadingLevel2"/>
        <w:rPr>
          <w:sz w:val="23"/>
          <w:szCs w:val="23"/>
        </w:rPr>
      </w:pPr>
      <w:r w:rsidRPr="00AB6AFC">
        <w:rPr>
          <w:sz w:val="23"/>
          <w:szCs w:val="23"/>
        </w:rPr>
        <w:t>CONTENTS</w:t>
      </w:r>
    </w:p>
    <w:p w14:paraId="1DF4B8BC" w14:textId="56BED428" w:rsidR="00FB1B7F" w:rsidRPr="00AB6AFC" w:rsidRDefault="00FB1B7F" w:rsidP="001F5845">
      <w:pPr>
        <w:pStyle w:val="HeadingLevel2"/>
        <w:rPr>
          <w:sz w:val="23"/>
          <w:szCs w:val="23"/>
        </w:rPr>
      </w:pPr>
    </w:p>
    <w:p w14:paraId="58E26722" w14:textId="5B3A2600" w:rsidR="00AB6AFC" w:rsidRPr="00AB6AFC" w:rsidRDefault="00403536">
      <w:pPr>
        <w:pStyle w:val="TOC1"/>
        <w:tabs>
          <w:tab w:val="left" w:pos="480"/>
          <w:tab w:val="right" w:leader="dot" w:pos="9350"/>
        </w:tabs>
        <w:rPr>
          <w:rFonts w:ascii="Arial" w:eastAsiaTheme="minorEastAsia" w:hAnsi="Arial" w:cs="Arial"/>
          <w:noProof/>
          <w:sz w:val="23"/>
          <w:szCs w:val="23"/>
          <w:lang w:eastAsia="en-GB"/>
        </w:rPr>
      </w:pPr>
      <w:r w:rsidRPr="00AB6AFC">
        <w:rPr>
          <w:rFonts w:ascii="Arial" w:eastAsia="Arial" w:hAnsi="Arial" w:cs="Arial"/>
          <w:sz w:val="23"/>
          <w:szCs w:val="23"/>
          <w:lang w:eastAsia="en-GB"/>
        </w:rPr>
        <w:fldChar w:fldCharType="begin"/>
      </w:r>
      <w:r w:rsidRPr="00AB6AFC">
        <w:rPr>
          <w:rFonts w:ascii="Arial" w:hAnsi="Arial" w:cs="Arial"/>
          <w:color w:val="000000"/>
          <w:sz w:val="23"/>
          <w:szCs w:val="23"/>
        </w:rPr>
        <w:instrText>TOC \t "Title Clause, 1" \h</w:instrText>
      </w:r>
      <w:r w:rsidRPr="00AB6AFC">
        <w:rPr>
          <w:rFonts w:ascii="Arial" w:eastAsia="Arial" w:hAnsi="Arial" w:cs="Arial"/>
          <w:sz w:val="23"/>
          <w:szCs w:val="23"/>
          <w:lang w:eastAsia="en-GB"/>
        </w:rPr>
        <w:fldChar w:fldCharType="separate"/>
      </w:r>
      <w:hyperlink w:anchor="_Toc219888748" w:history="1">
        <w:r w:rsidR="00AB6AFC" w:rsidRPr="00AB6AFC">
          <w:rPr>
            <w:rStyle w:val="Hyperlink"/>
            <w:rFonts w:ascii="Arial" w:hAnsi="Arial" w:cs="Arial"/>
            <w:noProof/>
            <w:sz w:val="23"/>
            <w:szCs w:val="23"/>
          </w:rPr>
          <w:t>1.</w:t>
        </w:r>
        <w:r w:rsidR="00AB6AFC" w:rsidRPr="00AB6AFC">
          <w:rPr>
            <w:rFonts w:ascii="Arial" w:eastAsiaTheme="minorEastAsia" w:hAnsi="Arial" w:cs="Arial"/>
            <w:noProof/>
            <w:sz w:val="23"/>
            <w:szCs w:val="23"/>
            <w:lang w:eastAsia="en-GB"/>
          </w:rPr>
          <w:tab/>
        </w:r>
        <w:r w:rsidR="00AB6AFC" w:rsidRPr="00AB6AFC">
          <w:rPr>
            <w:rStyle w:val="Hyperlink"/>
            <w:rFonts w:ascii="Arial" w:hAnsi="Arial" w:cs="Arial"/>
            <w:noProof/>
            <w:sz w:val="23"/>
            <w:szCs w:val="23"/>
          </w:rPr>
          <w:t>Common Law</w:t>
        </w:r>
        <w:r w:rsidR="00AB6AFC" w:rsidRPr="00AB6AFC">
          <w:rPr>
            <w:rFonts w:ascii="Arial" w:hAnsi="Arial" w:cs="Arial"/>
            <w:noProof/>
            <w:sz w:val="23"/>
            <w:szCs w:val="23"/>
          </w:rPr>
          <w:tab/>
        </w:r>
        <w:r w:rsidR="00AB6AFC" w:rsidRPr="00AB6AFC">
          <w:rPr>
            <w:rFonts w:ascii="Arial" w:hAnsi="Arial" w:cs="Arial"/>
            <w:noProof/>
            <w:sz w:val="23"/>
            <w:szCs w:val="23"/>
          </w:rPr>
          <w:fldChar w:fldCharType="begin"/>
        </w:r>
        <w:r w:rsidR="00AB6AFC" w:rsidRPr="00AB6AFC">
          <w:rPr>
            <w:rFonts w:ascii="Arial" w:hAnsi="Arial" w:cs="Arial"/>
            <w:noProof/>
            <w:sz w:val="23"/>
            <w:szCs w:val="23"/>
          </w:rPr>
          <w:instrText xml:space="preserve"> PAGEREF _Toc219888748 \h </w:instrText>
        </w:r>
        <w:r w:rsidR="00AB6AFC" w:rsidRPr="00AB6AFC">
          <w:rPr>
            <w:rFonts w:ascii="Arial" w:hAnsi="Arial" w:cs="Arial"/>
            <w:noProof/>
            <w:sz w:val="23"/>
            <w:szCs w:val="23"/>
          </w:rPr>
        </w:r>
        <w:r w:rsidR="00AB6AFC" w:rsidRPr="00AB6AFC">
          <w:rPr>
            <w:rFonts w:ascii="Arial" w:hAnsi="Arial" w:cs="Arial"/>
            <w:noProof/>
            <w:sz w:val="23"/>
            <w:szCs w:val="23"/>
          </w:rPr>
          <w:fldChar w:fldCharType="separate"/>
        </w:r>
        <w:r w:rsidR="00AB6AFC" w:rsidRPr="00AB6AFC">
          <w:rPr>
            <w:rFonts w:ascii="Arial" w:hAnsi="Arial" w:cs="Arial"/>
            <w:noProof/>
            <w:sz w:val="23"/>
            <w:szCs w:val="23"/>
          </w:rPr>
          <w:t>4</w:t>
        </w:r>
        <w:r w:rsidR="00AB6AFC" w:rsidRPr="00AB6AFC">
          <w:rPr>
            <w:rFonts w:ascii="Arial" w:hAnsi="Arial" w:cs="Arial"/>
            <w:noProof/>
            <w:sz w:val="23"/>
            <w:szCs w:val="23"/>
          </w:rPr>
          <w:fldChar w:fldCharType="end"/>
        </w:r>
      </w:hyperlink>
    </w:p>
    <w:p w14:paraId="009B5853" w14:textId="43FC8427" w:rsidR="00AB6AFC" w:rsidRPr="00AB6AFC" w:rsidRDefault="00AB6AFC">
      <w:pPr>
        <w:pStyle w:val="TOC1"/>
        <w:tabs>
          <w:tab w:val="left" w:pos="480"/>
          <w:tab w:val="right" w:leader="dot" w:pos="9350"/>
        </w:tabs>
        <w:rPr>
          <w:rFonts w:ascii="Arial" w:eastAsiaTheme="minorEastAsia" w:hAnsi="Arial" w:cs="Arial"/>
          <w:noProof/>
          <w:sz w:val="23"/>
          <w:szCs w:val="23"/>
          <w:lang w:eastAsia="en-GB"/>
        </w:rPr>
      </w:pPr>
      <w:hyperlink w:anchor="_Toc219888749" w:history="1">
        <w:r w:rsidRPr="00AB6AFC">
          <w:rPr>
            <w:rStyle w:val="Hyperlink"/>
            <w:rFonts w:ascii="Arial" w:hAnsi="Arial" w:cs="Arial"/>
            <w:noProof/>
            <w:sz w:val="23"/>
            <w:szCs w:val="23"/>
          </w:rPr>
          <w:t>2.</w:t>
        </w:r>
        <w:r w:rsidRPr="00AB6AFC">
          <w:rPr>
            <w:rFonts w:ascii="Arial" w:eastAsiaTheme="minorEastAsia" w:hAnsi="Arial" w:cs="Arial"/>
            <w:noProof/>
            <w:sz w:val="23"/>
            <w:szCs w:val="23"/>
            <w:lang w:eastAsia="en-GB"/>
          </w:rPr>
          <w:tab/>
        </w:r>
        <w:r w:rsidRPr="00AB6AFC">
          <w:rPr>
            <w:rStyle w:val="Hyperlink"/>
            <w:rFonts w:ascii="Arial" w:hAnsi="Arial" w:cs="Arial"/>
            <w:noProof/>
            <w:sz w:val="23"/>
            <w:szCs w:val="23"/>
          </w:rPr>
          <w:t>Police and Criminal Evidence Act 1984 (“PACE”)</w:t>
        </w:r>
        <w:r w:rsidRPr="00AB6AFC">
          <w:rPr>
            <w:rFonts w:ascii="Arial" w:hAnsi="Arial" w:cs="Arial"/>
            <w:noProof/>
            <w:sz w:val="23"/>
            <w:szCs w:val="23"/>
          </w:rPr>
          <w:tab/>
        </w:r>
        <w:r w:rsidRPr="00AB6AFC">
          <w:rPr>
            <w:rFonts w:ascii="Arial" w:hAnsi="Arial" w:cs="Arial"/>
            <w:noProof/>
            <w:sz w:val="23"/>
            <w:szCs w:val="23"/>
          </w:rPr>
          <w:fldChar w:fldCharType="begin"/>
        </w:r>
        <w:r w:rsidRPr="00AB6AFC">
          <w:rPr>
            <w:rFonts w:ascii="Arial" w:hAnsi="Arial" w:cs="Arial"/>
            <w:noProof/>
            <w:sz w:val="23"/>
            <w:szCs w:val="23"/>
          </w:rPr>
          <w:instrText xml:space="preserve"> PAGEREF _Toc219888749 \h </w:instrText>
        </w:r>
        <w:r w:rsidRPr="00AB6AFC">
          <w:rPr>
            <w:rFonts w:ascii="Arial" w:hAnsi="Arial" w:cs="Arial"/>
            <w:noProof/>
            <w:sz w:val="23"/>
            <w:szCs w:val="23"/>
          </w:rPr>
        </w:r>
        <w:r w:rsidRPr="00AB6AFC">
          <w:rPr>
            <w:rFonts w:ascii="Arial" w:hAnsi="Arial" w:cs="Arial"/>
            <w:noProof/>
            <w:sz w:val="23"/>
            <w:szCs w:val="23"/>
          </w:rPr>
          <w:fldChar w:fldCharType="separate"/>
        </w:r>
        <w:r w:rsidRPr="00AB6AFC">
          <w:rPr>
            <w:rFonts w:ascii="Arial" w:hAnsi="Arial" w:cs="Arial"/>
            <w:noProof/>
            <w:sz w:val="23"/>
            <w:szCs w:val="23"/>
          </w:rPr>
          <w:t>6</w:t>
        </w:r>
        <w:r w:rsidRPr="00AB6AFC">
          <w:rPr>
            <w:rFonts w:ascii="Arial" w:hAnsi="Arial" w:cs="Arial"/>
            <w:noProof/>
            <w:sz w:val="23"/>
            <w:szCs w:val="23"/>
          </w:rPr>
          <w:fldChar w:fldCharType="end"/>
        </w:r>
      </w:hyperlink>
    </w:p>
    <w:p w14:paraId="62981AE1" w14:textId="7FAB4709" w:rsidR="00AB6AFC" w:rsidRPr="00AB6AFC" w:rsidRDefault="00AB6AFC">
      <w:pPr>
        <w:pStyle w:val="TOC1"/>
        <w:tabs>
          <w:tab w:val="left" w:pos="480"/>
          <w:tab w:val="right" w:leader="dot" w:pos="9350"/>
        </w:tabs>
        <w:rPr>
          <w:rFonts w:ascii="Arial" w:eastAsiaTheme="minorEastAsia" w:hAnsi="Arial" w:cs="Arial"/>
          <w:noProof/>
          <w:sz w:val="23"/>
          <w:szCs w:val="23"/>
          <w:lang w:eastAsia="en-GB"/>
        </w:rPr>
      </w:pPr>
      <w:hyperlink w:anchor="_Toc219888750" w:history="1">
        <w:r w:rsidRPr="00AB6AFC">
          <w:rPr>
            <w:rStyle w:val="Hyperlink"/>
            <w:rFonts w:ascii="Arial" w:hAnsi="Arial" w:cs="Arial"/>
            <w:noProof/>
            <w:sz w:val="23"/>
            <w:szCs w:val="23"/>
          </w:rPr>
          <w:t>3.</w:t>
        </w:r>
        <w:r w:rsidRPr="00AB6AFC">
          <w:rPr>
            <w:rFonts w:ascii="Arial" w:eastAsiaTheme="minorEastAsia" w:hAnsi="Arial" w:cs="Arial"/>
            <w:noProof/>
            <w:sz w:val="23"/>
            <w:szCs w:val="23"/>
            <w:lang w:eastAsia="en-GB"/>
          </w:rPr>
          <w:tab/>
        </w:r>
        <w:r w:rsidRPr="00AB6AFC">
          <w:rPr>
            <w:rStyle w:val="Hyperlink"/>
            <w:rFonts w:ascii="Arial" w:hAnsi="Arial" w:cs="Arial"/>
            <w:noProof/>
            <w:sz w:val="23"/>
            <w:szCs w:val="23"/>
          </w:rPr>
          <w:t>Human Rights Act 1998</w:t>
        </w:r>
        <w:r w:rsidRPr="00AB6AFC">
          <w:rPr>
            <w:rFonts w:ascii="Arial" w:hAnsi="Arial" w:cs="Arial"/>
            <w:noProof/>
            <w:sz w:val="23"/>
            <w:szCs w:val="23"/>
          </w:rPr>
          <w:tab/>
        </w:r>
        <w:r w:rsidRPr="00AB6AFC">
          <w:rPr>
            <w:rFonts w:ascii="Arial" w:hAnsi="Arial" w:cs="Arial"/>
            <w:noProof/>
            <w:sz w:val="23"/>
            <w:szCs w:val="23"/>
          </w:rPr>
          <w:fldChar w:fldCharType="begin"/>
        </w:r>
        <w:r w:rsidRPr="00AB6AFC">
          <w:rPr>
            <w:rFonts w:ascii="Arial" w:hAnsi="Arial" w:cs="Arial"/>
            <w:noProof/>
            <w:sz w:val="23"/>
            <w:szCs w:val="23"/>
          </w:rPr>
          <w:instrText xml:space="preserve"> PAGEREF _Toc219888750 \h </w:instrText>
        </w:r>
        <w:r w:rsidRPr="00AB6AFC">
          <w:rPr>
            <w:rFonts w:ascii="Arial" w:hAnsi="Arial" w:cs="Arial"/>
            <w:noProof/>
            <w:sz w:val="23"/>
            <w:szCs w:val="23"/>
          </w:rPr>
        </w:r>
        <w:r w:rsidRPr="00AB6AFC">
          <w:rPr>
            <w:rFonts w:ascii="Arial" w:hAnsi="Arial" w:cs="Arial"/>
            <w:noProof/>
            <w:sz w:val="23"/>
            <w:szCs w:val="23"/>
          </w:rPr>
          <w:fldChar w:fldCharType="separate"/>
        </w:r>
        <w:r w:rsidRPr="00AB6AFC">
          <w:rPr>
            <w:rFonts w:ascii="Arial" w:hAnsi="Arial" w:cs="Arial"/>
            <w:noProof/>
            <w:sz w:val="23"/>
            <w:szCs w:val="23"/>
          </w:rPr>
          <w:t>6</w:t>
        </w:r>
        <w:r w:rsidRPr="00AB6AFC">
          <w:rPr>
            <w:rFonts w:ascii="Arial" w:hAnsi="Arial" w:cs="Arial"/>
            <w:noProof/>
            <w:sz w:val="23"/>
            <w:szCs w:val="23"/>
          </w:rPr>
          <w:fldChar w:fldCharType="end"/>
        </w:r>
      </w:hyperlink>
    </w:p>
    <w:p w14:paraId="004C0275" w14:textId="3B1D7FF2" w:rsidR="00AB6AFC" w:rsidRPr="00AB6AFC" w:rsidRDefault="00AB6AFC">
      <w:pPr>
        <w:pStyle w:val="TOC1"/>
        <w:tabs>
          <w:tab w:val="left" w:pos="480"/>
          <w:tab w:val="right" w:leader="dot" w:pos="9350"/>
        </w:tabs>
        <w:rPr>
          <w:rFonts w:ascii="Arial" w:eastAsiaTheme="minorEastAsia" w:hAnsi="Arial" w:cs="Arial"/>
          <w:noProof/>
          <w:sz w:val="23"/>
          <w:szCs w:val="23"/>
          <w:lang w:eastAsia="en-GB"/>
        </w:rPr>
      </w:pPr>
      <w:hyperlink w:anchor="_Toc219888751" w:history="1">
        <w:r w:rsidRPr="00AB6AFC">
          <w:rPr>
            <w:rStyle w:val="Hyperlink"/>
            <w:rFonts w:ascii="Arial" w:hAnsi="Arial" w:cs="Arial"/>
            <w:noProof/>
            <w:sz w:val="23"/>
            <w:szCs w:val="23"/>
          </w:rPr>
          <w:t>4.</w:t>
        </w:r>
        <w:r w:rsidRPr="00AB6AFC">
          <w:rPr>
            <w:rFonts w:ascii="Arial" w:eastAsiaTheme="minorEastAsia" w:hAnsi="Arial" w:cs="Arial"/>
            <w:noProof/>
            <w:sz w:val="23"/>
            <w:szCs w:val="23"/>
            <w:lang w:eastAsia="en-GB"/>
          </w:rPr>
          <w:tab/>
        </w:r>
        <w:r w:rsidRPr="00AB6AFC">
          <w:rPr>
            <w:rStyle w:val="Hyperlink"/>
            <w:rFonts w:ascii="Arial" w:hAnsi="Arial" w:cs="Arial"/>
            <w:noProof/>
            <w:sz w:val="23"/>
            <w:szCs w:val="23"/>
          </w:rPr>
          <w:t>Equality Act 2010</w:t>
        </w:r>
        <w:r w:rsidRPr="00AB6AFC">
          <w:rPr>
            <w:rFonts w:ascii="Arial" w:hAnsi="Arial" w:cs="Arial"/>
            <w:noProof/>
            <w:sz w:val="23"/>
            <w:szCs w:val="23"/>
          </w:rPr>
          <w:tab/>
        </w:r>
        <w:r w:rsidRPr="00AB6AFC">
          <w:rPr>
            <w:rFonts w:ascii="Arial" w:hAnsi="Arial" w:cs="Arial"/>
            <w:noProof/>
            <w:sz w:val="23"/>
            <w:szCs w:val="23"/>
          </w:rPr>
          <w:fldChar w:fldCharType="begin"/>
        </w:r>
        <w:r w:rsidRPr="00AB6AFC">
          <w:rPr>
            <w:rFonts w:ascii="Arial" w:hAnsi="Arial" w:cs="Arial"/>
            <w:noProof/>
            <w:sz w:val="23"/>
            <w:szCs w:val="23"/>
          </w:rPr>
          <w:instrText xml:space="preserve"> PAGEREF _Toc219888751 \h </w:instrText>
        </w:r>
        <w:r w:rsidRPr="00AB6AFC">
          <w:rPr>
            <w:rFonts w:ascii="Arial" w:hAnsi="Arial" w:cs="Arial"/>
            <w:noProof/>
            <w:sz w:val="23"/>
            <w:szCs w:val="23"/>
          </w:rPr>
        </w:r>
        <w:r w:rsidRPr="00AB6AFC">
          <w:rPr>
            <w:rFonts w:ascii="Arial" w:hAnsi="Arial" w:cs="Arial"/>
            <w:noProof/>
            <w:sz w:val="23"/>
            <w:szCs w:val="23"/>
          </w:rPr>
          <w:fldChar w:fldCharType="separate"/>
        </w:r>
        <w:r w:rsidRPr="00AB6AFC">
          <w:rPr>
            <w:rFonts w:ascii="Arial" w:hAnsi="Arial" w:cs="Arial"/>
            <w:noProof/>
            <w:sz w:val="23"/>
            <w:szCs w:val="23"/>
          </w:rPr>
          <w:t>16</w:t>
        </w:r>
        <w:r w:rsidRPr="00AB6AFC">
          <w:rPr>
            <w:rFonts w:ascii="Arial" w:hAnsi="Arial" w:cs="Arial"/>
            <w:noProof/>
            <w:sz w:val="23"/>
            <w:szCs w:val="23"/>
          </w:rPr>
          <w:fldChar w:fldCharType="end"/>
        </w:r>
      </w:hyperlink>
    </w:p>
    <w:p w14:paraId="7F0703D6" w14:textId="36A5B005" w:rsidR="00AB6AFC" w:rsidRPr="00AB6AFC" w:rsidRDefault="00AB6AFC">
      <w:pPr>
        <w:pStyle w:val="TOC1"/>
        <w:tabs>
          <w:tab w:val="left" w:pos="480"/>
          <w:tab w:val="right" w:leader="dot" w:pos="9350"/>
        </w:tabs>
        <w:rPr>
          <w:rFonts w:ascii="Arial" w:eastAsiaTheme="minorEastAsia" w:hAnsi="Arial" w:cs="Arial"/>
          <w:noProof/>
          <w:sz w:val="23"/>
          <w:szCs w:val="23"/>
          <w:lang w:eastAsia="en-GB"/>
        </w:rPr>
      </w:pPr>
      <w:hyperlink w:anchor="_Toc219888752" w:history="1">
        <w:r w:rsidRPr="00AB6AFC">
          <w:rPr>
            <w:rStyle w:val="Hyperlink"/>
            <w:rFonts w:ascii="Arial" w:hAnsi="Arial" w:cs="Arial"/>
            <w:noProof/>
            <w:sz w:val="23"/>
            <w:szCs w:val="23"/>
          </w:rPr>
          <w:t>5.</w:t>
        </w:r>
        <w:r w:rsidRPr="00AB6AFC">
          <w:rPr>
            <w:rFonts w:ascii="Arial" w:eastAsiaTheme="minorEastAsia" w:hAnsi="Arial" w:cs="Arial"/>
            <w:noProof/>
            <w:sz w:val="23"/>
            <w:szCs w:val="23"/>
            <w:lang w:eastAsia="en-GB"/>
          </w:rPr>
          <w:tab/>
        </w:r>
        <w:r w:rsidRPr="00AB6AFC">
          <w:rPr>
            <w:rStyle w:val="Hyperlink"/>
            <w:rFonts w:ascii="Arial" w:hAnsi="Arial" w:cs="Arial"/>
            <w:noProof/>
            <w:sz w:val="23"/>
            <w:szCs w:val="23"/>
          </w:rPr>
          <w:t>Data Protection Act 2018 and UK GDPR</w:t>
        </w:r>
        <w:r w:rsidRPr="00AB6AFC">
          <w:rPr>
            <w:rFonts w:ascii="Arial" w:hAnsi="Arial" w:cs="Arial"/>
            <w:noProof/>
            <w:sz w:val="23"/>
            <w:szCs w:val="23"/>
          </w:rPr>
          <w:tab/>
        </w:r>
        <w:r w:rsidRPr="00AB6AFC">
          <w:rPr>
            <w:rFonts w:ascii="Arial" w:hAnsi="Arial" w:cs="Arial"/>
            <w:noProof/>
            <w:sz w:val="23"/>
            <w:szCs w:val="23"/>
          </w:rPr>
          <w:fldChar w:fldCharType="begin"/>
        </w:r>
        <w:r w:rsidRPr="00AB6AFC">
          <w:rPr>
            <w:rFonts w:ascii="Arial" w:hAnsi="Arial" w:cs="Arial"/>
            <w:noProof/>
            <w:sz w:val="23"/>
            <w:szCs w:val="23"/>
          </w:rPr>
          <w:instrText xml:space="preserve"> PAGEREF _Toc219888752 \h </w:instrText>
        </w:r>
        <w:r w:rsidRPr="00AB6AFC">
          <w:rPr>
            <w:rFonts w:ascii="Arial" w:hAnsi="Arial" w:cs="Arial"/>
            <w:noProof/>
            <w:sz w:val="23"/>
            <w:szCs w:val="23"/>
          </w:rPr>
        </w:r>
        <w:r w:rsidRPr="00AB6AFC">
          <w:rPr>
            <w:rFonts w:ascii="Arial" w:hAnsi="Arial" w:cs="Arial"/>
            <w:noProof/>
            <w:sz w:val="23"/>
            <w:szCs w:val="23"/>
          </w:rPr>
          <w:fldChar w:fldCharType="separate"/>
        </w:r>
        <w:r w:rsidRPr="00AB6AFC">
          <w:rPr>
            <w:rFonts w:ascii="Arial" w:hAnsi="Arial" w:cs="Arial"/>
            <w:noProof/>
            <w:sz w:val="23"/>
            <w:szCs w:val="23"/>
          </w:rPr>
          <w:t>17</w:t>
        </w:r>
        <w:r w:rsidRPr="00AB6AFC">
          <w:rPr>
            <w:rFonts w:ascii="Arial" w:hAnsi="Arial" w:cs="Arial"/>
            <w:noProof/>
            <w:sz w:val="23"/>
            <w:szCs w:val="23"/>
          </w:rPr>
          <w:fldChar w:fldCharType="end"/>
        </w:r>
      </w:hyperlink>
    </w:p>
    <w:p w14:paraId="4B2B37EE" w14:textId="7F9CFAA6" w:rsidR="00AB6AFC" w:rsidRPr="00AB6AFC" w:rsidRDefault="00AB6AFC">
      <w:pPr>
        <w:pStyle w:val="TOC1"/>
        <w:tabs>
          <w:tab w:val="left" w:pos="480"/>
          <w:tab w:val="right" w:leader="dot" w:pos="9350"/>
        </w:tabs>
        <w:rPr>
          <w:rFonts w:ascii="Arial" w:eastAsiaTheme="minorEastAsia" w:hAnsi="Arial" w:cs="Arial"/>
          <w:noProof/>
          <w:sz w:val="23"/>
          <w:szCs w:val="23"/>
          <w:lang w:eastAsia="en-GB"/>
        </w:rPr>
      </w:pPr>
      <w:hyperlink w:anchor="_Toc219888753" w:history="1">
        <w:r w:rsidRPr="00AB6AFC">
          <w:rPr>
            <w:rStyle w:val="Hyperlink"/>
            <w:rFonts w:ascii="Arial" w:hAnsi="Arial" w:cs="Arial"/>
            <w:noProof/>
            <w:sz w:val="23"/>
            <w:szCs w:val="23"/>
          </w:rPr>
          <w:t>6.</w:t>
        </w:r>
        <w:r w:rsidRPr="00AB6AFC">
          <w:rPr>
            <w:rFonts w:ascii="Arial" w:eastAsiaTheme="minorEastAsia" w:hAnsi="Arial" w:cs="Arial"/>
            <w:noProof/>
            <w:sz w:val="23"/>
            <w:szCs w:val="23"/>
            <w:lang w:eastAsia="en-GB"/>
          </w:rPr>
          <w:tab/>
        </w:r>
        <w:r w:rsidRPr="00AB6AFC">
          <w:rPr>
            <w:rStyle w:val="Hyperlink"/>
            <w:rFonts w:ascii="Arial" w:hAnsi="Arial" w:cs="Arial"/>
            <w:noProof/>
            <w:sz w:val="23"/>
            <w:szCs w:val="23"/>
          </w:rPr>
          <w:t>Protection of Freedoms Act 2012</w:t>
        </w:r>
        <w:r w:rsidRPr="00AB6AFC">
          <w:rPr>
            <w:rFonts w:ascii="Arial" w:hAnsi="Arial" w:cs="Arial"/>
            <w:noProof/>
            <w:sz w:val="23"/>
            <w:szCs w:val="23"/>
          </w:rPr>
          <w:tab/>
        </w:r>
        <w:r w:rsidRPr="00AB6AFC">
          <w:rPr>
            <w:rFonts w:ascii="Arial" w:hAnsi="Arial" w:cs="Arial"/>
            <w:noProof/>
            <w:sz w:val="23"/>
            <w:szCs w:val="23"/>
          </w:rPr>
          <w:fldChar w:fldCharType="begin"/>
        </w:r>
        <w:r w:rsidRPr="00AB6AFC">
          <w:rPr>
            <w:rFonts w:ascii="Arial" w:hAnsi="Arial" w:cs="Arial"/>
            <w:noProof/>
            <w:sz w:val="23"/>
            <w:szCs w:val="23"/>
          </w:rPr>
          <w:instrText xml:space="preserve"> PAGEREF _Toc219888753 \h </w:instrText>
        </w:r>
        <w:r w:rsidRPr="00AB6AFC">
          <w:rPr>
            <w:rFonts w:ascii="Arial" w:hAnsi="Arial" w:cs="Arial"/>
            <w:noProof/>
            <w:sz w:val="23"/>
            <w:szCs w:val="23"/>
          </w:rPr>
        </w:r>
        <w:r w:rsidRPr="00AB6AFC">
          <w:rPr>
            <w:rFonts w:ascii="Arial" w:hAnsi="Arial" w:cs="Arial"/>
            <w:noProof/>
            <w:sz w:val="23"/>
            <w:szCs w:val="23"/>
          </w:rPr>
          <w:fldChar w:fldCharType="separate"/>
        </w:r>
        <w:r w:rsidRPr="00AB6AFC">
          <w:rPr>
            <w:rFonts w:ascii="Arial" w:hAnsi="Arial" w:cs="Arial"/>
            <w:noProof/>
            <w:sz w:val="23"/>
            <w:szCs w:val="23"/>
          </w:rPr>
          <w:t>20</w:t>
        </w:r>
        <w:r w:rsidRPr="00AB6AFC">
          <w:rPr>
            <w:rFonts w:ascii="Arial" w:hAnsi="Arial" w:cs="Arial"/>
            <w:noProof/>
            <w:sz w:val="23"/>
            <w:szCs w:val="23"/>
          </w:rPr>
          <w:fldChar w:fldCharType="end"/>
        </w:r>
      </w:hyperlink>
    </w:p>
    <w:p w14:paraId="540D922E" w14:textId="30E71A27" w:rsidR="00AB6AFC" w:rsidRPr="00AB6AFC" w:rsidRDefault="00AB6AFC">
      <w:pPr>
        <w:pStyle w:val="TOC1"/>
        <w:tabs>
          <w:tab w:val="left" w:pos="480"/>
          <w:tab w:val="right" w:leader="dot" w:pos="9350"/>
        </w:tabs>
        <w:rPr>
          <w:rFonts w:ascii="Arial" w:eastAsiaTheme="minorEastAsia" w:hAnsi="Arial" w:cs="Arial"/>
          <w:noProof/>
          <w:sz w:val="23"/>
          <w:szCs w:val="23"/>
          <w:lang w:eastAsia="en-GB"/>
        </w:rPr>
      </w:pPr>
      <w:hyperlink w:anchor="_Toc219888754" w:history="1">
        <w:r w:rsidRPr="00AB6AFC">
          <w:rPr>
            <w:rStyle w:val="Hyperlink"/>
            <w:rFonts w:ascii="Arial" w:hAnsi="Arial" w:cs="Arial"/>
            <w:noProof/>
            <w:sz w:val="23"/>
            <w:szCs w:val="23"/>
          </w:rPr>
          <w:t>7.</w:t>
        </w:r>
        <w:r w:rsidRPr="00AB6AFC">
          <w:rPr>
            <w:rFonts w:ascii="Arial" w:eastAsiaTheme="minorEastAsia" w:hAnsi="Arial" w:cs="Arial"/>
            <w:noProof/>
            <w:sz w:val="23"/>
            <w:szCs w:val="23"/>
            <w:lang w:eastAsia="en-GB"/>
          </w:rPr>
          <w:tab/>
        </w:r>
        <w:r w:rsidRPr="00AB6AFC">
          <w:rPr>
            <w:rStyle w:val="Hyperlink"/>
            <w:rFonts w:ascii="Arial" w:hAnsi="Arial" w:cs="Arial"/>
            <w:noProof/>
            <w:sz w:val="23"/>
            <w:szCs w:val="23"/>
          </w:rPr>
          <w:t>Freedom of Information Act 2000</w:t>
        </w:r>
        <w:r w:rsidRPr="00AB6AFC">
          <w:rPr>
            <w:rFonts w:ascii="Arial" w:hAnsi="Arial" w:cs="Arial"/>
            <w:noProof/>
            <w:sz w:val="23"/>
            <w:szCs w:val="23"/>
          </w:rPr>
          <w:tab/>
        </w:r>
        <w:r w:rsidRPr="00AB6AFC">
          <w:rPr>
            <w:rFonts w:ascii="Arial" w:hAnsi="Arial" w:cs="Arial"/>
            <w:noProof/>
            <w:sz w:val="23"/>
            <w:szCs w:val="23"/>
          </w:rPr>
          <w:fldChar w:fldCharType="begin"/>
        </w:r>
        <w:r w:rsidRPr="00AB6AFC">
          <w:rPr>
            <w:rFonts w:ascii="Arial" w:hAnsi="Arial" w:cs="Arial"/>
            <w:noProof/>
            <w:sz w:val="23"/>
            <w:szCs w:val="23"/>
          </w:rPr>
          <w:instrText xml:space="preserve"> PAGEREF _Toc219888754 \h </w:instrText>
        </w:r>
        <w:r w:rsidRPr="00AB6AFC">
          <w:rPr>
            <w:rFonts w:ascii="Arial" w:hAnsi="Arial" w:cs="Arial"/>
            <w:noProof/>
            <w:sz w:val="23"/>
            <w:szCs w:val="23"/>
          </w:rPr>
        </w:r>
        <w:r w:rsidRPr="00AB6AFC">
          <w:rPr>
            <w:rFonts w:ascii="Arial" w:hAnsi="Arial" w:cs="Arial"/>
            <w:noProof/>
            <w:sz w:val="23"/>
            <w:szCs w:val="23"/>
          </w:rPr>
          <w:fldChar w:fldCharType="separate"/>
        </w:r>
        <w:r w:rsidRPr="00AB6AFC">
          <w:rPr>
            <w:rFonts w:ascii="Arial" w:hAnsi="Arial" w:cs="Arial"/>
            <w:noProof/>
            <w:sz w:val="23"/>
            <w:szCs w:val="23"/>
          </w:rPr>
          <w:t>21</w:t>
        </w:r>
        <w:r w:rsidRPr="00AB6AFC">
          <w:rPr>
            <w:rFonts w:ascii="Arial" w:hAnsi="Arial" w:cs="Arial"/>
            <w:noProof/>
            <w:sz w:val="23"/>
            <w:szCs w:val="23"/>
          </w:rPr>
          <w:fldChar w:fldCharType="end"/>
        </w:r>
      </w:hyperlink>
    </w:p>
    <w:p w14:paraId="1DF4B8D0" w14:textId="27ADDE0E" w:rsidR="00FB1B7F" w:rsidRPr="00AB6AFC" w:rsidRDefault="00403536" w:rsidP="001F5845">
      <w:pPr>
        <w:pStyle w:val="HeadingLevel2"/>
        <w:rPr>
          <w:sz w:val="23"/>
          <w:szCs w:val="23"/>
        </w:rPr>
      </w:pPr>
      <w:r w:rsidRPr="00AB6AFC">
        <w:rPr>
          <w:sz w:val="23"/>
          <w:szCs w:val="23"/>
        </w:rPr>
        <w:fldChar w:fldCharType="end"/>
      </w:r>
    </w:p>
    <w:p w14:paraId="1DF4B8D1" w14:textId="77777777" w:rsidR="00FB1B7F" w:rsidRPr="00AB6AFC" w:rsidRDefault="00403536" w:rsidP="001F5845">
      <w:pPr>
        <w:pStyle w:val="HeadingLevel2"/>
        <w:rPr>
          <w:sz w:val="23"/>
          <w:szCs w:val="23"/>
        </w:rPr>
      </w:pPr>
      <w:r w:rsidRPr="00AB6AFC">
        <w:rPr>
          <w:sz w:val="23"/>
          <w:szCs w:val="23"/>
        </w:rPr>
        <w:t>ANNEX</w:t>
      </w:r>
    </w:p>
    <w:p w14:paraId="0D7D26C0" w14:textId="465829EF" w:rsidR="00AB6AFC" w:rsidRPr="00AB6AFC" w:rsidRDefault="00403536">
      <w:pPr>
        <w:pStyle w:val="TOC1"/>
        <w:tabs>
          <w:tab w:val="left" w:pos="1200"/>
          <w:tab w:val="right" w:leader="dot" w:pos="9350"/>
        </w:tabs>
        <w:rPr>
          <w:rFonts w:ascii="Arial" w:eastAsiaTheme="minorEastAsia" w:hAnsi="Arial" w:cs="Arial"/>
          <w:noProof/>
          <w:sz w:val="23"/>
          <w:szCs w:val="23"/>
          <w:lang w:eastAsia="en-GB"/>
        </w:rPr>
      </w:pPr>
      <w:r w:rsidRPr="00AB6AFC">
        <w:rPr>
          <w:rFonts w:ascii="Arial" w:eastAsia="Arial" w:hAnsi="Arial" w:cs="Arial"/>
          <w:sz w:val="23"/>
          <w:szCs w:val="23"/>
          <w:lang w:eastAsia="en-GB"/>
        </w:rPr>
        <w:fldChar w:fldCharType="begin"/>
      </w:r>
      <w:r w:rsidRPr="00AB6AFC">
        <w:rPr>
          <w:rFonts w:ascii="Arial" w:hAnsi="Arial" w:cs="Arial"/>
          <w:color w:val="000000"/>
          <w:sz w:val="23"/>
          <w:szCs w:val="23"/>
        </w:rPr>
        <w:instrText>TOC \t "Annex, 1, Annex Title, 1" \h</w:instrText>
      </w:r>
      <w:r w:rsidRPr="00AB6AFC">
        <w:rPr>
          <w:rFonts w:ascii="Arial" w:eastAsia="Arial" w:hAnsi="Arial" w:cs="Arial"/>
          <w:sz w:val="23"/>
          <w:szCs w:val="23"/>
          <w:lang w:eastAsia="en-GB"/>
        </w:rPr>
        <w:fldChar w:fldCharType="separate"/>
      </w:r>
      <w:hyperlink w:anchor="_Toc219888756" w:history="1">
        <w:r w:rsidR="00AB6AFC" w:rsidRPr="00AB6AFC">
          <w:rPr>
            <w:rStyle w:val="Hyperlink"/>
            <w:rFonts w:ascii="Arial" w:hAnsi="Arial" w:cs="Arial"/>
            <w:noProof/>
            <w:kern w:val="0"/>
            <w:sz w:val="23"/>
            <w:szCs w:val="23"/>
            <w14:ligatures w14:val="none"/>
          </w:rPr>
          <w:t>ANNEX A</w:t>
        </w:r>
        <w:r w:rsidR="00AB6AFC" w:rsidRPr="00AB6AFC">
          <w:rPr>
            <w:rFonts w:ascii="Arial" w:eastAsiaTheme="minorEastAsia" w:hAnsi="Arial" w:cs="Arial"/>
            <w:noProof/>
            <w:sz w:val="23"/>
            <w:szCs w:val="23"/>
            <w:lang w:eastAsia="en-GB"/>
          </w:rPr>
          <w:tab/>
        </w:r>
        <w:r w:rsidR="00AB6AFC" w:rsidRPr="00AB6AFC">
          <w:rPr>
            <w:rStyle w:val="Hyperlink"/>
            <w:rFonts w:ascii="Arial" w:hAnsi="Arial" w:cs="Arial"/>
            <w:noProof/>
            <w:sz w:val="23"/>
            <w:szCs w:val="23"/>
          </w:rPr>
          <w:t>Legal Framework and Governance Overview – summary of existing legislation and related governance regards policing’s overt use of LFR technology</w:t>
        </w:r>
        <w:r w:rsidR="00AB6AFC" w:rsidRPr="00AB6AFC">
          <w:rPr>
            <w:rFonts w:ascii="Arial" w:hAnsi="Arial" w:cs="Arial"/>
            <w:noProof/>
            <w:sz w:val="23"/>
            <w:szCs w:val="23"/>
          </w:rPr>
          <w:tab/>
        </w:r>
        <w:r w:rsidR="00AB6AFC" w:rsidRPr="00AB6AFC">
          <w:rPr>
            <w:rFonts w:ascii="Arial" w:hAnsi="Arial" w:cs="Arial"/>
            <w:noProof/>
            <w:sz w:val="23"/>
            <w:szCs w:val="23"/>
          </w:rPr>
          <w:fldChar w:fldCharType="begin"/>
        </w:r>
        <w:r w:rsidR="00AB6AFC" w:rsidRPr="00AB6AFC">
          <w:rPr>
            <w:rFonts w:ascii="Arial" w:hAnsi="Arial" w:cs="Arial"/>
            <w:noProof/>
            <w:sz w:val="23"/>
            <w:szCs w:val="23"/>
          </w:rPr>
          <w:instrText xml:space="preserve"> PAGEREF _Toc219888756 \h </w:instrText>
        </w:r>
        <w:r w:rsidR="00AB6AFC" w:rsidRPr="00AB6AFC">
          <w:rPr>
            <w:rFonts w:ascii="Arial" w:hAnsi="Arial" w:cs="Arial"/>
            <w:noProof/>
            <w:sz w:val="23"/>
            <w:szCs w:val="23"/>
          </w:rPr>
        </w:r>
        <w:r w:rsidR="00AB6AFC" w:rsidRPr="00AB6AFC">
          <w:rPr>
            <w:rFonts w:ascii="Arial" w:hAnsi="Arial" w:cs="Arial"/>
            <w:noProof/>
            <w:sz w:val="23"/>
            <w:szCs w:val="23"/>
          </w:rPr>
          <w:fldChar w:fldCharType="separate"/>
        </w:r>
        <w:r w:rsidR="00AB6AFC" w:rsidRPr="00AB6AFC">
          <w:rPr>
            <w:rFonts w:ascii="Arial" w:hAnsi="Arial" w:cs="Arial"/>
            <w:noProof/>
            <w:sz w:val="23"/>
            <w:szCs w:val="23"/>
          </w:rPr>
          <w:t>22</w:t>
        </w:r>
        <w:r w:rsidR="00AB6AFC" w:rsidRPr="00AB6AFC">
          <w:rPr>
            <w:rFonts w:ascii="Arial" w:hAnsi="Arial" w:cs="Arial"/>
            <w:noProof/>
            <w:sz w:val="23"/>
            <w:szCs w:val="23"/>
          </w:rPr>
          <w:fldChar w:fldCharType="end"/>
        </w:r>
      </w:hyperlink>
    </w:p>
    <w:p w14:paraId="7D33A886" w14:textId="15445338" w:rsidR="00BE1FCC" w:rsidRPr="00BE1FCC" w:rsidRDefault="00403536" w:rsidP="00BE1FCC">
      <w:pPr>
        <w:ind w:left="10" w:right="165" w:hanging="10"/>
        <w:rPr>
          <w:rFonts w:ascii="Arial" w:hAnsi="Arial" w:cs="Arial"/>
          <w:sz w:val="20"/>
          <w:szCs w:val="20"/>
        </w:rPr>
      </w:pPr>
      <w:r w:rsidRPr="00AB6AFC">
        <w:rPr>
          <w:rFonts w:ascii="Arial" w:hAnsi="Arial" w:cs="Arial"/>
          <w:sz w:val="23"/>
          <w:szCs w:val="23"/>
        </w:rPr>
        <w:fldChar w:fldCharType="end"/>
      </w:r>
    </w:p>
    <w:p w14:paraId="1DF4B8D5" w14:textId="41D509ED" w:rsidR="00FB1B7F" w:rsidRPr="001A542D" w:rsidRDefault="00FB1B7F" w:rsidP="00BE1FCC">
      <w:pPr>
        <w:pStyle w:val="HeadingLevel2"/>
        <w:rPr>
          <w:sz w:val="23"/>
          <w:szCs w:val="23"/>
        </w:rPr>
        <w:sectPr w:rsidR="00FB1B7F" w:rsidRPr="001A542D" w:rsidSect="00BD5B5A">
          <w:footerReference w:type="default" r:id="rId17"/>
          <w:pgSz w:w="12240" w:h="15840"/>
          <w:pgMar w:top="1440" w:right="1440" w:bottom="1440" w:left="1440" w:header="720" w:footer="720" w:gutter="0"/>
          <w:pgNumType w:start="1"/>
          <w:cols w:space="720"/>
        </w:sectPr>
      </w:pPr>
    </w:p>
    <w:p w14:paraId="1DF4B8DB" w14:textId="77777777" w:rsidR="00FB1B7F" w:rsidRPr="001A542D" w:rsidRDefault="00403536" w:rsidP="001F5845">
      <w:pPr>
        <w:pStyle w:val="DescriptiveHeading"/>
        <w:rPr>
          <w:sz w:val="23"/>
          <w:szCs w:val="23"/>
        </w:rPr>
      </w:pPr>
      <w:r w:rsidRPr="001A542D">
        <w:rPr>
          <w:sz w:val="23"/>
          <w:szCs w:val="23"/>
        </w:rPr>
        <w:lastRenderedPageBreak/>
        <w:t>BACKGROUND</w:t>
      </w:r>
    </w:p>
    <w:p w14:paraId="306D6442" w14:textId="77777777" w:rsidR="00C01ED1" w:rsidRPr="00C01ED1" w:rsidRDefault="00C01ED1" w:rsidP="006D3920">
      <w:pPr>
        <w:pStyle w:val="Background"/>
        <w:rPr>
          <w:sz w:val="23"/>
          <w:szCs w:val="23"/>
        </w:rPr>
      </w:pPr>
      <w:bookmarkStart w:id="0" w:name="a393565"/>
      <w:r w:rsidRPr="00C01ED1">
        <w:rPr>
          <w:sz w:val="23"/>
          <w:szCs w:val="23"/>
        </w:rPr>
        <w:t xml:space="preserve">LFR is a real-time deployment of facial recognition technology, which compares a live camera feed (or multiple feeds) of faces against a predetermined watchlist, </w:t>
      </w:r>
      <w:proofErr w:type="gramStart"/>
      <w:r w:rsidRPr="00C01ED1">
        <w:rPr>
          <w:sz w:val="23"/>
          <w:szCs w:val="23"/>
        </w:rPr>
        <w:t>in order to</w:t>
      </w:r>
      <w:proofErr w:type="gramEnd"/>
      <w:r w:rsidRPr="00C01ED1">
        <w:rPr>
          <w:sz w:val="23"/>
          <w:szCs w:val="23"/>
        </w:rPr>
        <w:t xml:space="preserve"> locate persons of interest by generating an alert when a possible match is found.</w:t>
      </w:r>
    </w:p>
    <w:bookmarkEnd w:id="0"/>
    <w:p w14:paraId="23DA114B" w14:textId="77777777" w:rsidR="00C01ED1" w:rsidRPr="00C01ED1" w:rsidRDefault="00C01ED1" w:rsidP="00C01ED1">
      <w:pPr>
        <w:pStyle w:val="Background"/>
        <w:rPr>
          <w:sz w:val="23"/>
          <w:szCs w:val="23"/>
        </w:rPr>
      </w:pPr>
      <w:r w:rsidRPr="00C01ED1">
        <w:rPr>
          <w:sz w:val="23"/>
          <w:szCs w:val="23"/>
        </w:rPr>
        <w:t xml:space="preserve">LFR is being used by forces for </w:t>
      </w:r>
      <w:proofErr w:type="gramStart"/>
      <w:r w:rsidRPr="00C01ED1">
        <w:rPr>
          <w:sz w:val="23"/>
          <w:szCs w:val="23"/>
        </w:rPr>
        <w:t>a number of</w:t>
      </w:r>
      <w:proofErr w:type="gramEnd"/>
      <w:r w:rsidRPr="00C01ED1">
        <w:rPr>
          <w:sz w:val="23"/>
          <w:szCs w:val="23"/>
        </w:rPr>
        <w:t xml:space="preserve"> policing purposes, including:</w:t>
      </w:r>
    </w:p>
    <w:p w14:paraId="1E22AFD5" w14:textId="2252EFEC" w:rsidR="00C01ED1" w:rsidRPr="00C01ED1" w:rsidRDefault="00C01ED1" w:rsidP="00C01ED1">
      <w:pPr>
        <w:pStyle w:val="BackgroundSubclause2"/>
        <w:rPr>
          <w:sz w:val="23"/>
          <w:szCs w:val="23"/>
        </w:rPr>
      </w:pPr>
      <w:r>
        <w:rPr>
          <w:sz w:val="23"/>
          <w:szCs w:val="23"/>
        </w:rPr>
        <w:t>S</w:t>
      </w:r>
      <w:r w:rsidRPr="00C01ED1">
        <w:rPr>
          <w:sz w:val="23"/>
          <w:szCs w:val="23"/>
        </w:rPr>
        <w:t>upporting the location and arrest of people wanted for criminal offences</w:t>
      </w:r>
      <w:r>
        <w:rPr>
          <w:sz w:val="23"/>
          <w:szCs w:val="23"/>
        </w:rPr>
        <w:t>.</w:t>
      </w:r>
    </w:p>
    <w:p w14:paraId="1C11184B" w14:textId="6FAB8D90" w:rsidR="00C01ED1" w:rsidRPr="00C01ED1" w:rsidRDefault="00C01ED1" w:rsidP="00C01ED1">
      <w:pPr>
        <w:pStyle w:val="BackgroundSubclause2"/>
        <w:rPr>
          <w:sz w:val="23"/>
          <w:szCs w:val="23"/>
        </w:rPr>
      </w:pPr>
      <w:r>
        <w:rPr>
          <w:sz w:val="23"/>
          <w:szCs w:val="23"/>
        </w:rPr>
        <w:t>P</w:t>
      </w:r>
      <w:r w:rsidRPr="00C01ED1">
        <w:rPr>
          <w:sz w:val="23"/>
          <w:szCs w:val="23"/>
        </w:rPr>
        <w:t>reventing people who may cause harm from entering an area (for example, fixated threat individuals, persons subject to football banning orders)</w:t>
      </w:r>
      <w:r>
        <w:rPr>
          <w:sz w:val="23"/>
          <w:szCs w:val="23"/>
        </w:rPr>
        <w:t>.</w:t>
      </w:r>
    </w:p>
    <w:p w14:paraId="56DDC3D9" w14:textId="295A6D9C" w:rsidR="00C01ED1" w:rsidRDefault="00C01ED1" w:rsidP="00C01ED1">
      <w:pPr>
        <w:pStyle w:val="BackgroundSubclause2"/>
        <w:rPr>
          <w:sz w:val="23"/>
          <w:szCs w:val="23"/>
        </w:rPr>
      </w:pPr>
      <w:r>
        <w:rPr>
          <w:sz w:val="23"/>
          <w:szCs w:val="23"/>
        </w:rPr>
        <w:t>S</w:t>
      </w:r>
      <w:r w:rsidRPr="00C01ED1">
        <w:rPr>
          <w:sz w:val="23"/>
          <w:szCs w:val="23"/>
        </w:rPr>
        <w:t>upporting the location of people about whom there is intelligence to suggest that they may pose a risk of harm to themselves or others (for example, stalkers, terrorists, missing persons deemed at increased risk)</w:t>
      </w:r>
      <w:r>
        <w:rPr>
          <w:sz w:val="23"/>
          <w:szCs w:val="23"/>
        </w:rPr>
        <w:t>.</w:t>
      </w:r>
    </w:p>
    <w:p w14:paraId="0F4BFABA" w14:textId="2C3EE681" w:rsidR="00C01ED1" w:rsidRDefault="00C01ED1" w:rsidP="00C01ED1">
      <w:pPr>
        <w:pStyle w:val="Background"/>
        <w:rPr>
          <w:sz w:val="23"/>
          <w:szCs w:val="23"/>
        </w:rPr>
      </w:pPr>
      <w:r w:rsidRPr="00C01ED1">
        <w:rPr>
          <w:sz w:val="23"/>
          <w:szCs w:val="23"/>
        </w:rPr>
        <w:t>LFR for law enforcement purposes is not subject to dedicated primary legislation</w:t>
      </w:r>
      <w:r>
        <w:rPr>
          <w:sz w:val="23"/>
          <w:szCs w:val="23"/>
        </w:rPr>
        <w:t xml:space="preserve"> (although </w:t>
      </w:r>
      <w:r w:rsidR="000156BC">
        <w:rPr>
          <w:sz w:val="23"/>
          <w:szCs w:val="23"/>
        </w:rPr>
        <w:t xml:space="preserve">the UK Government have expressed the need for a more specific legal framework to ensure law enforcement can properly harness the power of LFR while maintaining public </w:t>
      </w:r>
      <w:proofErr w:type="gramStart"/>
      <w:r w:rsidR="000156BC">
        <w:rPr>
          <w:sz w:val="23"/>
          <w:szCs w:val="23"/>
        </w:rPr>
        <w:t>confidence, and</w:t>
      </w:r>
      <w:proofErr w:type="gramEnd"/>
      <w:r w:rsidR="000156BC">
        <w:rPr>
          <w:sz w:val="23"/>
          <w:szCs w:val="23"/>
        </w:rPr>
        <w:t xml:space="preserve"> is currently consulting on the same)</w:t>
      </w:r>
      <w:r w:rsidR="000156BC">
        <w:rPr>
          <w:rStyle w:val="FootnoteReference"/>
          <w:sz w:val="23"/>
          <w:szCs w:val="23"/>
        </w:rPr>
        <w:footnoteReference w:id="1"/>
      </w:r>
      <w:r w:rsidRPr="00C01ED1">
        <w:rPr>
          <w:sz w:val="23"/>
          <w:szCs w:val="23"/>
        </w:rPr>
        <w:t xml:space="preserve">. LFR is regulated by </w:t>
      </w:r>
      <w:proofErr w:type="gramStart"/>
      <w:r w:rsidRPr="00C01ED1">
        <w:rPr>
          <w:sz w:val="23"/>
          <w:szCs w:val="23"/>
        </w:rPr>
        <w:t>a number of</w:t>
      </w:r>
      <w:proofErr w:type="gramEnd"/>
      <w:r w:rsidRPr="00C01ED1">
        <w:rPr>
          <w:sz w:val="23"/>
          <w:szCs w:val="23"/>
        </w:rPr>
        <w:t xml:space="preserve"> sources of primary and secondary legislation as well as both national and local policy. This ‘tapestry’ of legislation </w:t>
      </w:r>
      <w:r w:rsidR="00346652" w:rsidRPr="00C01ED1">
        <w:rPr>
          <w:sz w:val="23"/>
          <w:szCs w:val="23"/>
        </w:rPr>
        <w:t>combines</w:t>
      </w:r>
      <w:r w:rsidRPr="00C01ED1">
        <w:rPr>
          <w:sz w:val="23"/>
          <w:szCs w:val="23"/>
        </w:rPr>
        <w:t xml:space="preserve"> to provide a multi-layered legal structure to use and regulate the use of LFR.</w:t>
      </w:r>
    </w:p>
    <w:p w14:paraId="5CDDD1C7" w14:textId="0185F09E" w:rsidR="00FC58F7" w:rsidRDefault="00FC58F7" w:rsidP="00C01ED1">
      <w:pPr>
        <w:pStyle w:val="Background"/>
        <w:rPr>
          <w:sz w:val="23"/>
          <w:szCs w:val="23"/>
        </w:rPr>
      </w:pPr>
      <w:r>
        <w:rPr>
          <w:sz w:val="23"/>
          <w:szCs w:val="23"/>
        </w:rPr>
        <w:t xml:space="preserve">This is an </w:t>
      </w:r>
      <w:r w:rsidR="009665B4">
        <w:rPr>
          <w:sz w:val="23"/>
          <w:szCs w:val="23"/>
        </w:rPr>
        <w:t>ever-evolving</w:t>
      </w:r>
      <w:r>
        <w:rPr>
          <w:sz w:val="23"/>
          <w:szCs w:val="23"/>
        </w:rPr>
        <w:t xml:space="preserve"> area of law, and challenges to the use of LFR are becoming increasingly prevalent</w:t>
      </w:r>
      <w:r w:rsidR="001255D8">
        <w:rPr>
          <w:sz w:val="23"/>
          <w:szCs w:val="23"/>
        </w:rPr>
        <w:t xml:space="preserve">, with </w:t>
      </w:r>
      <w:r w:rsidR="00F808A3">
        <w:rPr>
          <w:sz w:val="23"/>
          <w:szCs w:val="23"/>
        </w:rPr>
        <w:t>a judicial review case</w:t>
      </w:r>
      <w:r w:rsidR="00785F4C">
        <w:rPr>
          <w:sz w:val="23"/>
          <w:szCs w:val="23"/>
        </w:rPr>
        <w:t xml:space="preserve"> against the use of the Metropolitan Police’s use of LFR due to be heard in the High Court in late January 2026</w:t>
      </w:r>
      <w:r w:rsidR="00E36363">
        <w:rPr>
          <w:sz w:val="23"/>
          <w:szCs w:val="23"/>
        </w:rPr>
        <w:t>.</w:t>
      </w:r>
      <w:r w:rsidR="00E36363">
        <w:rPr>
          <w:rStyle w:val="FootnoteReference"/>
          <w:sz w:val="23"/>
          <w:szCs w:val="23"/>
        </w:rPr>
        <w:footnoteReference w:id="2"/>
      </w:r>
    </w:p>
    <w:p w14:paraId="605C13F0" w14:textId="687BDAF3" w:rsidR="00C01ED1" w:rsidRDefault="00C01ED1" w:rsidP="007C7E65">
      <w:pPr>
        <w:pStyle w:val="Background"/>
        <w:rPr>
          <w:sz w:val="23"/>
          <w:szCs w:val="23"/>
        </w:rPr>
      </w:pPr>
      <w:r>
        <w:rPr>
          <w:sz w:val="23"/>
          <w:szCs w:val="23"/>
        </w:rPr>
        <w:t>Further information on the use</w:t>
      </w:r>
      <w:r w:rsidRPr="00C01ED1">
        <w:rPr>
          <w:sz w:val="23"/>
          <w:szCs w:val="23"/>
        </w:rPr>
        <w:t xml:space="preserve"> </w:t>
      </w:r>
      <w:r>
        <w:rPr>
          <w:sz w:val="23"/>
          <w:szCs w:val="23"/>
        </w:rPr>
        <w:t>of LFR</w:t>
      </w:r>
      <w:r w:rsidRPr="00C01ED1">
        <w:rPr>
          <w:sz w:val="23"/>
          <w:szCs w:val="23"/>
        </w:rPr>
        <w:t xml:space="preserve"> </w:t>
      </w:r>
      <w:r>
        <w:rPr>
          <w:sz w:val="23"/>
          <w:szCs w:val="23"/>
        </w:rPr>
        <w:t>by Cumbria Constabulary</w:t>
      </w:r>
      <w:r w:rsidRPr="00C01ED1">
        <w:rPr>
          <w:sz w:val="23"/>
          <w:szCs w:val="23"/>
        </w:rPr>
        <w:t xml:space="preserve"> can be found in </w:t>
      </w:r>
      <w:r>
        <w:rPr>
          <w:sz w:val="23"/>
          <w:szCs w:val="23"/>
        </w:rPr>
        <w:t>Cumbria Constabulary’s</w:t>
      </w:r>
      <w:r w:rsidRPr="00C01ED1">
        <w:rPr>
          <w:sz w:val="23"/>
          <w:szCs w:val="23"/>
        </w:rPr>
        <w:t xml:space="preserve"> </w:t>
      </w:r>
      <w:bookmarkStart w:id="1" w:name="_Hlk219726472"/>
      <w:r w:rsidRPr="00C01ED1">
        <w:rPr>
          <w:i/>
          <w:iCs/>
          <w:sz w:val="23"/>
          <w:szCs w:val="23"/>
        </w:rPr>
        <w:t xml:space="preserve">Deployment of Live Facial Recognition (LFR) </w:t>
      </w:r>
      <w:r w:rsidR="006F388F">
        <w:rPr>
          <w:i/>
          <w:iCs/>
          <w:sz w:val="23"/>
          <w:szCs w:val="23"/>
        </w:rPr>
        <w:t>Vans</w:t>
      </w:r>
      <w:bookmarkEnd w:id="1"/>
      <w:r>
        <w:rPr>
          <w:i/>
          <w:iCs/>
          <w:sz w:val="23"/>
          <w:szCs w:val="23"/>
        </w:rPr>
        <w:t xml:space="preserve"> </w:t>
      </w:r>
      <w:r>
        <w:rPr>
          <w:sz w:val="23"/>
          <w:szCs w:val="23"/>
        </w:rPr>
        <w:t>Polic</w:t>
      </w:r>
      <w:r w:rsidR="00B11CE5">
        <w:rPr>
          <w:sz w:val="23"/>
          <w:szCs w:val="23"/>
        </w:rPr>
        <w:t>y</w:t>
      </w:r>
      <w:r>
        <w:rPr>
          <w:sz w:val="23"/>
          <w:szCs w:val="23"/>
        </w:rPr>
        <w:t xml:space="preserve"> Document</w:t>
      </w:r>
      <w:r w:rsidR="00920706">
        <w:rPr>
          <w:sz w:val="23"/>
          <w:szCs w:val="23"/>
        </w:rPr>
        <w:t xml:space="preserve"> (“</w:t>
      </w:r>
      <w:r w:rsidR="00920706" w:rsidRPr="00920706">
        <w:rPr>
          <w:b/>
          <w:bCs/>
          <w:sz w:val="23"/>
          <w:szCs w:val="23"/>
        </w:rPr>
        <w:t>LFR Policy</w:t>
      </w:r>
      <w:r w:rsidR="00920706">
        <w:rPr>
          <w:b/>
          <w:bCs/>
          <w:sz w:val="23"/>
          <w:szCs w:val="23"/>
        </w:rPr>
        <w:t>”</w:t>
      </w:r>
      <w:r w:rsidR="00920706">
        <w:rPr>
          <w:sz w:val="23"/>
          <w:szCs w:val="23"/>
        </w:rPr>
        <w:t>)</w:t>
      </w:r>
      <w:r>
        <w:rPr>
          <w:sz w:val="23"/>
          <w:szCs w:val="23"/>
        </w:rPr>
        <w:t>.</w:t>
      </w:r>
      <w:r w:rsidR="00E22208">
        <w:rPr>
          <w:sz w:val="23"/>
          <w:szCs w:val="23"/>
        </w:rPr>
        <w:t xml:space="preserve"> Terms used within the Legal Mandate are as defined in the LFR Policy unless stated otherwise.</w:t>
      </w:r>
    </w:p>
    <w:p w14:paraId="242A5AF4" w14:textId="60AF506C" w:rsidR="00A216C7" w:rsidRDefault="00A216C7" w:rsidP="007C7E65">
      <w:pPr>
        <w:pStyle w:val="Background"/>
        <w:rPr>
          <w:sz w:val="23"/>
          <w:szCs w:val="23"/>
        </w:rPr>
      </w:pPr>
      <w:r>
        <w:rPr>
          <w:sz w:val="23"/>
          <w:szCs w:val="23"/>
        </w:rPr>
        <w:t>Overview of the LFR Legal Framework is as follows:</w:t>
      </w:r>
    </w:p>
    <w:p w14:paraId="62E817EE" w14:textId="77777777" w:rsidR="00A216C7" w:rsidRDefault="00A216C7" w:rsidP="00A216C7">
      <w:pPr>
        <w:pStyle w:val="Background"/>
        <w:numPr>
          <w:ilvl w:val="0"/>
          <w:numId w:val="0"/>
        </w:numPr>
        <w:ind w:left="720"/>
        <w:rPr>
          <w:sz w:val="23"/>
          <w:szCs w:val="23"/>
        </w:rPr>
      </w:pPr>
    </w:p>
    <w:tbl>
      <w:tblPr>
        <w:tblStyle w:val="TableGrid"/>
        <w:tblW w:w="0" w:type="auto"/>
        <w:tblInd w:w="576" w:type="dxa"/>
        <w:tblLook w:val="04A0" w:firstRow="1" w:lastRow="0" w:firstColumn="1" w:lastColumn="0" w:noHBand="0" w:noVBand="1"/>
      </w:tblPr>
      <w:tblGrid>
        <w:gridCol w:w="1572"/>
        <w:gridCol w:w="2707"/>
        <w:gridCol w:w="4495"/>
      </w:tblGrid>
      <w:tr w:rsidR="00A216C7" w14:paraId="7D29698E" w14:textId="77777777" w:rsidTr="00B11CE5">
        <w:trPr>
          <w:trHeight w:val="1093"/>
        </w:trPr>
        <w:tc>
          <w:tcPr>
            <w:tcW w:w="1380" w:type="dxa"/>
            <w:vMerge w:val="restart"/>
          </w:tcPr>
          <w:p w14:paraId="2EAD20E3" w14:textId="77777777" w:rsidR="00A216C7" w:rsidRPr="00A216C7" w:rsidRDefault="00A216C7" w:rsidP="00D4773B">
            <w:pPr>
              <w:pStyle w:val="LFRNumberedBodyText"/>
              <w:numPr>
                <w:ilvl w:val="0"/>
                <w:numId w:val="0"/>
              </w:numPr>
              <w:jc w:val="left"/>
              <w:rPr>
                <w:rFonts w:ascii="Arial" w:hAnsi="Arial" w:cs="Arial"/>
                <w:sz w:val="23"/>
                <w:szCs w:val="23"/>
              </w:rPr>
            </w:pPr>
            <w:bookmarkStart w:id="2" w:name="_Hlk69803785"/>
            <w:r w:rsidRPr="00A216C7">
              <w:rPr>
                <w:rFonts w:ascii="Arial" w:hAnsi="Arial" w:cs="Arial"/>
                <w:sz w:val="23"/>
                <w:szCs w:val="23"/>
              </w:rPr>
              <w:t>Tier one: Legislation</w:t>
            </w:r>
          </w:p>
        </w:tc>
        <w:tc>
          <w:tcPr>
            <w:tcW w:w="2707" w:type="dxa"/>
          </w:tcPr>
          <w:p w14:paraId="42D36EF2" w14:textId="77777777" w:rsidR="00A216C7" w:rsidRPr="00A216C7" w:rsidRDefault="00A216C7" w:rsidP="00D4773B">
            <w:pPr>
              <w:pStyle w:val="LFRNumberedBodyText"/>
              <w:numPr>
                <w:ilvl w:val="0"/>
                <w:numId w:val="0"/>
              </w:numPr>
              <w:rPr>
                <w:rFonts w:ascii="Arial" w:hAnsi="Arial" w:cs="Arial"/>
                <w:sz w:val="23"/>
                <w:szCs w:val="23"/>
              </w:rPr>
            </w:pPr>
            <w:r w:rsidRPr="00A216C7">
              <w:rPr>
                <w:rFonts w:ascii="Arial" w:hAnsi="Arial" w:cs="Arial"/>
                <w:sz w:val="23"/>
                <w:szCs w:val="23"/>
              </w:rPr>
              <w:t>Legal Power to use LFR</w:t>
            </w:r>
          </w:p>
        </w:tc>
        <w:tc>
          <w:tcPr>
            <w:tcW w:w="4496" w:type="dxa"/>
          </w:tcPr>
          <w:p w14:paraId="44540285" w14:textId="77777777" w:rsidR="00A216C7" w:rsidRPr="00A216C7" w:rsidRDefault="00A216C7" w:rsidP="009D15DA">
            <w:pPr>
              <w:pStyle w:val="LFRNumberedBodyText"/>
              <w:numPr>
                <w:ilvl w:val="0"/>
                <w:numId w:val="25"/>
              </w:numPr>
              <w:tabs>
                <w:tab w:val="num" w:pos="360"/>
              </w:tabs>
              <w:ind w:left="0" w:firstLine="0"/>
              <w:rPr>
                <w:rFonts w:ascii="Arial" w:hAnsi="Arial" w:cs="Arial"/>
                <w:sz w:val="23"/>
                <w:szCs w:val="23"/>
              </w:rPr>
            </w:pPr>
            <w:r w:rsidRPr="00A216C7">
              <w:rPr>
                <w:rFonts w:ascii="Arial" w:hAnsi="Arial" w:cs="Arial"/>
                <w:sz w:val="23"/>
                <w:szCs w:val="23"/>
              </w:rPr>
              <w:t>Common Law</w:t>
            </w:r>
          </w:p>
          <w:p w14:paraId="65F18287" w14:textId="77777777" w:rsidR="00A216C7" w:rsidRPr="00A216C7" w:rsidRDefault="00A216C7" w:rsidP="009D15DA">
            <w:pPr>
              <w:pStyle w:val="LFRNumberedBodyText"/>
              <w:numPr>
                <w:ilvl w:val="0"/>
                <w:numId w:val="25"/>
              </w:numPr>
              <w:tabs>
                <w:tab w:val="num" w:pos="360"/>
              </w:tabs>
              <w:ind w:left="0" w:firstLine="0"/>
              <w:rPr>
                <w:rFonts w:ascii="Arial" w:hAnsi="Arial" w:cs="Arial"/>
                <w:sz w:val="23"/>
                <w:szCs w:val="23"/>
              </w:rPr>
            </w:pPr>
            <w:r w:rsidRPr="00A216C7">
              <w:rPr>
                <w:rFonts w:ascii="Arial" w:hAnsi="Arial" w:cs="Arial"/>
                <w:sz w:val="23"/>
                <w:szCs w:val="23"/>
              </w:rPr>
              <w:lastRenderedPageBreak/>
              <w:t>Police and Criminal Evidence Act 1984 Code D (revised)</w:t>
            </w:r>
          </w:p>
        </w:tc>
      </w:tr>
      <w:tr w:rsidR="00A216C7" w14:paraId="00C99D30" w14:textId="77777777" w:rsidTr="00B11CE5">
        <w:tc>
          <w:tcPr>
            <w:tcW w:w="1380" w:type="dxa"/>
            <w:vMerge/>
          </w:tcPr>
          <w:p w14:paraId="38C357BC" w14:textId="77777777" w:rsidR="00A216C7" w:rsidRPr="00A216C7" w:rsidRDefault="00A216C7" w:rsidP="00D4773B">
            <w:pPr>
              <w:pStyle w:val="LFRNumberedBodyText"/>
              <w:numPr>
                <w:ilvl w:val="0"/>
                <w:numId w:val="0"/>
              </w:numPr>
              <w:rPr>
                <w:rFonts w:ascii="Arial" w:hAnsi="Arial" w:cs="Arial"/>
                <w:sz w:val="23"/>
                <w:szCs w:val="23"/>
              </w:rPr>
            </w:pPr>
          </w:p>
        </w:tc>
        <w:tc>
          <w:tcPr>
            <w:tcW w:w="2707" w:type="dxa"/>
          </w:tcPr>
          <w:p w14:paraId="3909978C" w14:textId="77777777" w:rsidR="00A216C7" w:rsidRPr="00A216C7" w:rsidRDefault="00A216C7" w:rsidP="00D4773B">
            <w:pPr>
              <w:pStyle w:val="LFRNumberedBodyText"/>
              <w:numPr>
                <w:ilvl w:val="0"/>
                <w:numId w:val="0"/>
              </w:numPr>
              <w:rPr>
                <w:rFonts w:ascii="Arial" w:hAnsi="Arial" w:cs="Arial"/>
                <w:sz w:val="23"/>
                <w:szCs w:val="23"/>
              </w:rPr>
            </w:pPr>
            <w:r w:rsidRPr="00A216C7">
              <w:rPr>
                <w:rFonts w:ascii="Arial" w:hAnsi="Arial" w:cs="Arial"/>
                <w:sz w:val="23"/>
                <w:szCs w:val="23"/>
              </w:rPr>
              <w:t>Regulating the use of LFR</w:t>
            </w:r>
          </w:p>
        </w:tc>
        <w:tc>
          <w:tcPr>
            <w:tcW w:w="4496" w:type="dxa"/>
          </w:tcPr>
          <w:p w14:paraId="40079DF1" w14:textId="77777777" w:rsidR="00A216C7" w:rsidRPr="00A216C7" w:rsidRDefault="00A216C7" w:rsidP="00D4773B">
            <w:pPr>
              <w:pStyle w:val="LFRNumberedBodyText"/>
              <w:numPr>
                <w:ilvl w:val="0"/>
                <w:numId w:val="0"/>
              </w:numPr>
              <w:rPr>
                <w:rFonts w:ascii="Arial" w:hAnsi="Arial" w:cs="Arial"/>
                <w:b/>
                <w:bCs/>
                <w:sz w:val="23"/>
                <w:szCs w:val="23"/>
              </w:rPr>
            </w:pPr>
            <w:r w:rsidRPr="00A216C7">
              <w:rPr>
                <w:rFonts w:ascii="Arial" w:hAnsi="Arial" w:cs="Arial"/>
                <w:b/>
                <w:bCs/>
                <w:sz w:val="23"/>
                <w:szCs w:val="23"/>
              </w:rPr>
              <w:t>Operational</w:t>
            </w:r>
          </w:p>
          <w:p w14:paraId="7F42F659" w14:textId="0F6631E2" w:rsidR="00A216C7" w:rsidRPr="00A216C7" w:rsidRDefault="00A216C7" w:rsidP="00D4773B">
            <w:pPr>
              <w:pStyle w:val="LFRNumberedBodyText"/>
              <w:numPr>
                <w:ilvl w:val="0"/>
                <w:numId w:val="0"/>
              </w:numPr>
              <w:rPr>
                <w:rFonts w:ascii="Arial" w:hAnsi="Arial" w:cs="Arial"/>
                <w:sz w:val="23"/>
                <w:szCs w:val="23"/>
              </w:rPr>
            </w:pPr>
            <w:r w:rsidRPr="00A216C7">
              <w:rPr>
                <w:rFonts w:ascii="Arial" w:hAnsi="Arial" w:cs="Arial"/>
                <w:sz w:val="23"/>
                <w:szCs w:val="23"/>
              </w:rPr>
              <w:t xml:space="preserve">b) </w:t>
            </w:r>
            <w:r w:rsidR="0049710B">
              <w:rPr>
                <w:rFonts w:ascii="Arial" w:hAnsi="Arial" w:cs="Arial"/>
                <w:sz w:val="23"/>
                <w:szCs w:val="23"/>
              </w:rPr>
              <w:t>European Convention of Human Rights (“</w:t>
            </w:r>
            <w:r w:rsidR="0049710B" w:rsidRPr="0049710B">
              <w:rPr>
                <w:rFonts w:ascii="Arial" w:hAnsi="Arial" w:cs="Arial"/>
                <w:b/>
                <w:bCs/>
                <w:sz w:val="23"/>
                <w:szCs w:val="23"/>
              </w:rPr>
              <w:t>ECHR</w:t>
            </w:r>
            <w:r w:rsidR="0049710B">
              <w:rPr>
                <w:rFonts w:ascii="Arial" w:hAnsi="Arial" w:cs="Arial"/>
                <w:b/>
                <w:bCs/>
                <w:sz w:val="23"/>
                <w:szCs w:val="23"/>
              </w:rPr>
              <w:t>”</w:t>
            </w:r>
            <w:r w:rsidR="0049710B">
              <w:rPr>
                <w:rFonts w:ascii="Arial" w:hAnsi="Arial" w:cs="Arial"/>
                <w:sz w:val="23"/>
                <w:szCs w:val="23"/>
              </w:rPr>
              <w:t xml:space="preserve">) and </w:t>
            </w:r>
            <w:r w:rsidRPr="00A216C7">
              <w:rPr>
                <w:rFonts w:ascii="Arial" w:hAnsi="Arial" w:cs="Arial"/>
                <w:sz w:val="23"/>
                <w:szCs w:val="23"/>
              </w:rPr>
              <w:t>Human Rights Act 1998</w:t>
            </w:r>
          </w:p>
          <w:p w14:paraId="46F19F54" w14:textId="77777777" w:rsidR="00A216C7" w:rsidRPr="00A216C7" w:rsidRDefault="00A216C7" w:rsidP="00D4773B">
            <w:pPr>
              <w:pStyle w:val="LFRNumberedBodyText"/>
              <w:numPr>
                <w:ilvl w:val="0"/>
                <w:numId w:val="0"/>
              </w:numPr>
              <w:rPr>
                <w:rFonts w:ascii="Arial" w:hAnsi="Arial" w:cs="Arial"/>
                <w:sz w:val="23"/>
                <w:szCs w:val="23"/>
              </w:rPr>
            </w:pPr>
            <w:r w:rsidRPr="00A216C7">
              <w:rPr>
                <w:rFonts w:ascii="Arial" w:hAnsi="Arial" w:cs="Arial"/>
                <w:sz w:val="23"/>
                <w:szCs w:val="23"/>
              </w:rPr>
              <w:t>c) Equality Act 2010</w:t>
            </w:r>
          </w:p>
          <w:p w14:paraId="3E7A420A" w14:textId="77777777" w:rsidR="00A216C7" w:rsidRPr="00A216C7" w:rsidRDefault="00A216C7" w:rsidP="00D4773B">
            <w:pPr>
              <w:pStyle w:val="LFRNumberedBodyText"/>
              <w:numPr>
                <w:ilvl w:val="0"/>
                <w:numId w:val="0"/>
              </w:numPr>
              <w:rPr>
                <w:rFonts w:ascii="Arial" w:hAnsi="Arial" w:cs="Arial"/>
                <w:b/>
                <w:bCs/>
                <w:sz w:val="23"/>
                <w:szCs w:val="23"/>
              </w:rPr>
            </w:pPr>
            <w:r w:rsidRPr="00A216C7">
              <w:rPr>
                <w:rFonts w:ascii="Arial" w:hAnsi="Arial" w:cs="Arial"/>
                <w:b/>
                <w:bCs/>
                <w:sz w:val="23"/>
                <w:szCs w:val="23"/>
              </w:rPr>
              <w:t>Data Management</w:t>
            </w:r>
          </w:p>
          <w:p w14:paraId="73446261" w14:textId="77777777" w:rsidR="00A216C7" w:rsidRPr="00A216C7" w:rsidRDefault="00A216C7" w:rsidP="00D4773B">
            <w:pPr>
              <w:pStyle w:val="LFRNumberedBodyText"/>
              <w:numPr>
                <w:ilvl w:val="0"/>
                <w:numId w:val="0"/>
              </w:numPr>
              <w:rPr>
                <w:rFonts w:ascii="Arial" w:hAnsi="Arial" w:cs="Arial"/>
                <w:sz w:val="23"/>
                <w:szCs w:val="23"/>
              </w:rPr>
            </w:pPr>
            <w:r w:rsidRPr="00A216C7">
              <w:rPr>
                <w:rFonts w:ascii="Arial" w:hAnsi="Arial" w:cs="Arial"/>
                <w:sz w:val="23"/>
                <w:szCs w:val="23"/>
              </w:rPr>
              <w:t>d) Data Protection Act 2018 (Part 3)</w:t>
            </w:r>
          </w:p>
          <w:p w14:paraId="217F20E5" w14:textId="77777777" w:rsidR="00A216C7" w:rsidRPr="00A216C7" w:rsidRDefault="00A216C7" w:rsidP="00D4773B">
            <w:pPr>
              <w:pStyle w:val="LFRNumberedBodyText"/>
              <w:numPr>
                <w:ilvl w:val="0"/>
                <w:numId w:val="0"/>
              </w:numPr>
              <w:rPr>
                <w:rFonts w:ascii="Arial" w:hAnsi="Arial" w:cs="Arial"/>
                <w:sz w:val="23"/>
                <w:szCs w:val="23"/>
              </w:rPr>
            </w:pPr>
            <w:r w:rsidRPr="00A216C7">
              <w:rPr>
                <w:rFonts w:ascii="Arial" w:hAnsi="Arial" w:cs="Arial"/>
                <w:sz w:val="23"/>
                <w:szCs w:val="23"/>
              </w:rPr>
              <w:t>e) UK General Data Protection Regulation</w:t>
            </w:r>
          </w:p>
          <w:p w14:paraId="251DBC32" w14:textId="77777777" w:rsidR="00A216C7" w:rsidRPr="00A216C7" w:rsidRDefault="00A216C7" w:rsidP="00D4773B">
            <w:pPr>
              <w:pStyle w:val="LFRNumberedBodyText"/>
              <w:numPr>
                <w:ilvl w:val="0"/>
                <w:numId w:val="0"/>
              </w:numPr>
              <w:rPr>
                <w:rFonts w:ascii="Arial" w:hAnsi="Arial" w:cs="Arial"/>
                <w:sz w:val="23"/>
                <w:szCs w:val="23"/>
              </w:rPr>
            </w:pPr>
            <w:r w:rsidRPr="00A216C7">
              <w:rPr>
                <w:rFonts w:ascii="Arial" w:hAnsi="Arial" w:cs="Arial"/>
                <w:sz w:val="23"/>
                <w:szCs w:val="23"/>
              </w:rPr>
              <w:t>f) Protection of Freedoms Act 2012</w:t>
            </w:r>
          </w:p>
        </w:tc>
      </w:tr>
      <w:tr w:rsidR="00A216C7" w14:paraId="11E31255" w14:textId="77777777" w:rsidTr="00B11CE5">
        <w:tc>
          <w:tcPr>
            <w:tcW w:w="1380" w:type="dxa"/>
            <w:vMerge/>
          </w:tcPr>
          <w:p w14:paraId="519FF7CE" w14:textId="77777777" w:rsidR="00A216C7" w:rsidRPr="00A216C7" w:rsidRDefault="00A216C7" w:rsidP="00D4773B">
            <w:pPr>
              <w:pStyle w:val="LFRNumberedBodyText"/>
              <w:numPr>
                <w:ilvl w:val="0"/>
                <w:numId w:val="0"/>
              </w:numPr>
              <w:rPr>
                <w:rFonts w:ascii="Arial" w:hAnsi="Arial" w:cs="Arial"/>
                <w:sz w:val="23"/>
                <w:szCs w:val="23"/>
              </w:rPr>
            </w:pPr>
          </w:p>
        </w:tc>
        <w:tc>
          <w:tcPr>
            <w:tcW w:w="2707" w:type="dxa"/>
          </w:tcPr>
          <w:p w14:paraId="00F26A9D" w14:textId="77777777" w:rsidR="00A216C7" w:rsidRPr="00A216C7" w:rsidRDefault="00A216C7" w:rsidP="00D4773B">
            <w:pPr>
              <w:pStyle w:val="LFRNumberedBodyText"/>
              <w:numPr>
                <w:ilvl w:val="0"/>
                <w:numId w:val="0"/>
              </w:numPr>
              <w:rPr>
                <w:rFonts w:ascii="Arial" w:hAnsi="Arial" w:cs="Arial"/>
                <w:sz w:val="23"/>
                <w:szCs w:val="23"/>
              </w:rPr>
            </w:pPr>
            <w:r w:rsidRPr="00A216C7">
              <w:rPr>
                <w:rFonts w:ascii="Arial" w:hAnsi="Arial" w:cs="Arial"/>
                <w:sz w:val="23"/>
                <w:szCs w:val="23"/>
              </w:rPr>
              <w:t>Requests for Information in relation to LFR</w:t>
            </w:r>
          </w:p>
        </w:tc>
        <w:tc>
          <w:tcPr>
            <w:tcW w:w="4496" w:type="dxa"/>
          </w:tcPr>
          <w:p w14:paraId="6EF0C0A1" w14:textId="77777777" w:rsidR="00A216C7" w:rsidRPr="00A216C7" w:rsidRDefault="00A216C7" w:rsidP="00D4773B">
            <w:pPr>
              <w:pStyle w:val="LFRNumberedBodyText"/>
              <w:numPr>
                <w:ilvl w:val="0"/>
                <w:numId w:val="0"/>
              </w:numPr>
              <w:rPr>
                <w:rFonts w:ascii="Arial" w:hAnsi="Arial" w:cs="Arial"/>
                <w:sz w:val="23"/>
                <w:szCs w:val="23"/>
              </w:rPr>
            </w:pPr>
            <w:r w:rsidRPr="00A216C7">
              <w:rPr>
                <w:rFonts w:ascii="Arial" w:hAnsi="Arial" w:cs="Arial"/>
                <w:sz w:val="23"/>
                <w:szCs w:val="23"/>
              </w:rPr>
              <w:t>g) Freedom of Information Act 2000</w:t>
            </w:r>
          </w:p>
          <w:p w14:paraId="251AD827" w14:textId="46338435" w:rsidR="00A216C7" w:rsidRPr="00A216C7" w:rsidRDefault="00A216C7" w:rsidP="00D4773B">
            <w:pPr>
              <w:pStyle w:val="LFRNumberedBodyText"/>
              <w:numPr>
                <w:ilvl w:val="0"/>
                <w:numId w:val="0"/>
              </w:numPr>
              <w:rPr>
                <w:rFonts w:ascii="Arial" w:hAnsi="Arial" w:cs="Arial"/>
                <w:sz w:val="23"/>
                <w:szCs w:val="23"/>
              </w:rPr>
            </w:pPr>
            <w:r w:rsidRPr="00A216C7">
              <w:rPr>
                <w:rFonts w:ascii="Arial" w:hAnsi="Arial" w:cs="Arial"/>
                <w:sz w:val="23"/>
                <w:szCs w:val="23"/>
              </w:rPr>
              <w:t>h) Data Protection Act 2018 (Subject Access Requests)</w:t>
            </w:r>
          </w:p>
        </w:tc>
      </w:tr>
      <w:bookmarkEnd w:id="2"/>
      <w:tr w:rsidR="00A216C7" w14:paraId="7A9091A1" w14:textId="77777777" w:rsidTr="00B11CE5">
        <w:tc>
          <w:tcPr>
            <w:tcW w:w="1380" w:type="dxa"/>
          </w:tcPr>
          <w:p w14:paraId="4F430944" w14:textId="77777777" w:rsidR="00A216C7" w:rsidRPr="00A216C7" w:rsidRDefault="00A216C7" w:rsidP="00D4773B">
            <w:pPr>
              <w:pStyle w:val="LFRNumberedBodyText"/>
              <w:numPr>
                <w:ilvl w:val="0"/>
                <w:numId w:val="0"/>
              </w:numPr>
              <w:jc w:val="left"/>
              <w:rPr>
                <w:rFonts w:ascii="Arial" w:hAnsi="Arial" w:cs="Arial"/>
                <w:sz w:val="23"/>
                <w:szCs w:val="23"/>
              </w:rPr>
            </w:pPr>
            <w:r w:rsidRPr="00A216C7">
              <w:rPr>
                <w:rFonts w:ascii="Arial" w:hAnsi="Arial" w:cs="Arial"/>
                <w:sz w:val="23"/>
                <w:szCs w:val="23"/>
              </w:rPr>
              <w:t>Tier Two: Code and Guidance</w:t>
            </w:r>
          </w:p>
        </w:tc>
        <w:tc>
          <w:tcPr>
            <w:tcW w:w="2707" w:type="dxa"/>
          </w:tcPr>
          <w:p w14:paraId="59C74CFE" w14:textId="77777777" w:rsidR="00A216C7" w:rsidRPr="00A216C7" w:rsidRDefault="00A216C7" w:rsidP="00D4773B">
            <w:pPr>
              <w:pStyle w:val="LFRNumberedBodyText"/>
              <w:numPr>
                <w:ilvl w:val="0"/>
                <w:numId w:val="0"/>
              </w:numPr>
              <w:rPr>
                <w:rFonts w:ascii="Arial" w:hAnsi="Arial" w:cs="Arial"/>
                <w:sz w:val="23"/>
                <w:szCs w:val="23"/>
              </w:rPr>
            </w:pPr>
            <w:r w:rsidRPr="00A216C7">
              <w:rPr>
                <w:rFonts w:ascii="Arial" w:hAnsi="Arial" w:cs="Arial"/>
                <w:sz w:val="23"/>
                <w:szCs w:val="23"/>
              </w:rPr>
              <w:t>Regulating the use of LFR</w:t>
            </w:r>
          </w:p>
        </w:tc>
        <w:tc>
          <w:tcPr>
            <w:tcW w:w="4496" w:type="dxa"/>
          </w:tcPr>
          <w:p w14:paraId="4DE19D91" w14:textId="69983019" w:rsidR="00A216C7" w:rsidRPr="00A216C7" w:rsidRDefault="00A216C7" w:rsidP="00D4773B">
            <w:pPr>
              <w:pStyle w:val="LFRNumberedBodyText"/>
              <w:numPr>
                <w:ilvl w:val="0"/>
                <w:numId w:val="0"/>
              </w:numPr>
              <w:rPr>
                <w:rFonts w:ascii="Arial" w:hAnsi="Arial" w:cs="Arial"/>
                <w:sz w:val="23"/>
                <w:szCs w:val="23"/>
              </w:rPr>
            </w:pPr>
            <w:r w:rsidRPr="00A216C7">
              <w:rPr>
                <w:rFonts w:ascii="Arial" w:hAnsi="Arial" w:cs="Arial"/>
                <w:sz w:val="23"/>
                <w:szCs w:val="23"/>
              </w:rPr>
              <w:t>a) Secretary of State’s Surveillance Camera Code of Practi</w:t>
            </w:r>
            <w:r>
              <w:rPr>
                <w:rFonts w:ascii="Arial" w:hAnsi="Arial" w:cs="Arial"/>
                <w:sz w:val="23"/>
                <w:szCs w:val="23"/>
              </w:rPr>
              <w:t>c</w:t>
            </w:r>
            <w:r w:rsidRPr="00A216C7">
              <w:rPr>
                <w:rFonts w:ascii="Arial" w:hAnsi="Arial" w:cs="Arial"/>
                <w:sz w:val="23"/>
                <w:szCs w:val="23"/>
              </w:rPr>
              <w:t>e</w:t>
            </w:r>
            <w:r>
              <w:rPr>
                <w:rStyle w:val="FootnoteReference"/>
                <w:rFonts w:ascii="Arial" w:hAnsi="Arial" w:cs="Arial"/>
                <w:sz w:val="23"/>
                <w:szCs w:val="23"/>
              </w:rPr>
              <w:footnoteReference w:id="3"/>
            </w:r>
          </w:p>
          <w:p w14:paraId="63668FBA" w14:textId="39AB159F" w:rsidR="00A216C7" w:rsidRPr="00A216C7" w:rsidRDefault="00A216C7" w:rsidP="00D4773B">
            <w:pPr>
              <w:pStyle w:val="LFRNumberedBodyText"/>
              <w:numPr>
                <w:ilvl w:val="0"/>
                <w:numId w:val="0"/>
              </w:numPr>
              <w:rPr>
                <w:rFonts w:ascii="Arial" w:hAnsi="Arial" w:cs="Arial"/>
                <w:sz w:val="23"/>
                <w:szCs w:val="23"/>
              </w:rPr>
            </w:pPr>
            <w:r w:rsidRPr="00A216C7">
              <w:rPr>
                <w:rFonts w:ascii="Arial" w:hAnsi="Arial" w:cs="Arial"/>
                <w:sz w:val="23"/>
                <w:szCs w:val="23"/>
              </w:rPr>
              <w:t>b) Guidance issued by the Surveillance Camera Commissioner (Facing the Camara)</w:t>
            </w:r>
            <w:r w:rsidR="00B11CE5">
              <w:rPr>
                <w:rStyle w:val="FootnoteReference"/>
                <w:rFonts w:ascii="Arial" w:hAnsi="Arial" w:cs="Arial"/>
                <w:sz w:val="23"/>
                <w:szCs w:val="23"/>
              </w:rPr>
              <w:footnoteReference w:id="4"/>
            </w:r>
          </w:p>
          <w:p w14:paraId="00E74CC5" w14:textId="3565AF3B" w:rsidR="00A216C7" w:rsidRDefault="00A216C7" w:rsidP="00D4773B">
            <w:pPr>
              <w:pStyle w:val="LFRNumberedBodyText"/>
              <w:numPr>
                <w:ilvl w:val="0"/>
                <w:numId w:val="0"/>
              </w:numPr>
              <w:rPr>
                <w:rFonts w:ascii="Arial" w:hAnsi="Arial" w:cs="Arial"/>
                <w:sz w:val="23"/>
                <w:szCs w:val="23"/>
              </w:rPr>
            </w:pPr>
            <w:r w:rsidRPr="00A216C7">
              <w:rPr>
                <w:rFonts w:ascii="Arial" w:hAnsi="Arial" w:cs="Arial"/>
                <w:sz w:val="23"/>
                <w:szCs w:val="23"/>
              </w:rPr>
              <w:t>c) Information Commissioner’s Office Code of Practise for Surveillance Cameras and associated guidance issued by the Information Commissioner</w:t>
            </w:r>
            <w:r w:rsidR="00B11CE5">
              <w:rPr>
                <w:rStyle w:val="FootnoteReference"/>
                <w:rFonts w:ascii="Arial" w:hAnsi="Arial" w:cs="Arial"/>
                <w:sz w:val="23"/>
                <w:szCs w:val="23"/>
              </w:rPr>
              <w:footnoteReference w:id="5"/>
            </w:r>
          </w:p>
          <w:p w14:paraId="436A6738" w14:textId="77777777" w:rsidR="00A216C7" w:rsidRDefault="00A216C7" w:rsidP="00D4773B">
            <w:pPr>
              <w:pStyle w:val="LFRNumberedBodyText"/>
              <w:numPr>
                <w:ilvl w:val="0"/>
                <w:numId w:val="0"/>
              </w:numPr>
              <w:rPr>
                <w:rFonts w:ascii="Arial" w:hAnsi="Arial" w:cs="Arial"/>
                <w:sz w:val="23"/>
                <w:szCs w:val="23"/>
              </w:rPr>
            </w:pPr>
            <w:r>
              <w:rPr>
                <w:rFonts w:ascii="Arial" w:hAnsi="Arial" w:cs="Arial"/>
                <w:sz w:val="23"/>
                <w:szCs w:val="23"/>
              </w:rPr>
              <w:t>d) College of Policing Authorised Professional Practice: Live Facial Recognition</w:t>
            </w:r>
            <w:r w:rsidR="00B11CE5">
              <w:rPr>
                <w:rStyle w:val="FootnoteReference"/>
                <w:rFonts w:ascii="Arial" w:hAnsi="Arial" w:cs="Arial"/>
                <w:sz w:val="23"/>
                <w:szCs w:val="23"/>
              </w:rPr>
              <w:footnoteReference w:id="6"/>
            </w:r>
          </w:p>
          <w:p w14:paraId="70A4BA6B" w14:textId="079AAC16" w:rsidR="00B11CE5" w:rsidRPr="00A216C7" w:rsidRDefault="00B11CE5" w:rsidP="00D4773B">
            <w:pPr>
              <w:pStyle w:val="LFRNumberedBodyText"/>
              <w:numPr>
                <w:ilvl w:val="0"/>
                <w:numId w:val="0"/>
              </w:numPr>
              <w:rPr>
                <w:rFonts w:ascii="Arial" w:hAnsi="Arial" w:cs="Arial"/>
                <w:sz w:val="23"/>
                <w:szCs w:val="23"/>
              </w:rPr>
            </w:pPr>
            <w:r>
              <w:rPr>
                <w:rFonts w:ascii="Arial" w:hAnsi="Arial" w:cs="Arial"/>
                <w:sz w:val="23"/>
                <w:szCs w:val="23"/>
              </w:rPr>
              <w:t>e) College of Policing Guidance: Police Information and Records Management Code of Practice</w:t>
            </w:r>
            <w:r>
              <w:rPr>
                <w:rStyle w:val="FootnoteReference"/>
                <w:rFonts w:ascii="Arial" w:hAnsi="Arial" w:cs="Arial"/>
                <w:sz w:val="23"/>
                <w:szCs w:val="23"/>
              </w:rPr>
              <w:footnoteReference w:id="7"/>
            </w:r>
          </w:p>
        </w:tc>
      </w:tr>
      <w:tr w:rsidR="00B11CE5" w14:paraId="51B07F7E" w14:textId="77777777" w:rsidTr="00B11CE5">
        <w:tc>
          <w:tcPr>
            <w:tcW w:w="1380" w:type="dxa"/>
          </w:tcPr>
          <w:p w14:paraId="172FC9F2" w14:textId="6A98D781" w:rsidR="00B11CE5" w:rsidRPr="00A216C7" w:rsidRDefault="00B11CE5" w:rsidP="00B11CE5">
            <w:pPr>
              <w:pStyle w:val="LFRNumberedBodyText"/>
              <w:numPr>
                <w:ilvl w:val="0"/>
                <w:numId w:val="0"/>
              </w:numPr>
              <w:jc w:val="left"/>
              <w:rPr>
                <w:rFonts w:ascii="Arial" w:hAnsi="Arial" w:cs="Arial"/>
                <w:sz w:val="23"/>
                <w:szCs w:val="23"/>
              </w:rPr>
            </w:pPr>
            <w:r w:rsidRPr="00A216C7">
              <w:rPr>
                <w:rFonts w:ascii="Arial" w:hAnsi="Arial" w:cs="Arial"/>
                <w:sz w:val="23"/>
                <w:szCs w:val="23"/>
              </w:rPr>
              <w:lastRenderedPageBreak/>
              <w:t xml:space="preserve">Tier Three: </w:t>
            </w:r>
            <w:r>
              <w:rPr>
                <w:rFonts w:ascii="Arial" w:hAnsi="Arial" w:cs="Arial"/>
                <w:sz w:val="23"/>
                <w:szCs w:val="23"/>
              </w:rPr>
              <w:t>Cumbria Constabulary</w:t>
            </w:r>
            <w:r w:rsidRPr="00A216C7">
              <w:rPr>
                <w:rFonts w:ascii="Arial" w:hAnsi="Arial" w:cs="Arial"/>
                <w:sz w:val="23"/>
                <w:szCs w:val="23"/>
              </w:rPr>
              <w:t xml:space="preserve"> LFR Documents</w:t>
            </w:r>
          </w:p>
        </w:tc>
        <w:tc>
          <w:tcPr>
            <w:tcW w:w="2707" w:type="dxa"/>
          </w:tcPr>
          <w:p w14:paraId="1F631784" w14:textId="77777777" w:rsidR="00B11CE5" w:rsidRPr="00A216C7" w:rsidRDefault="00B11CE5" w:rsidP="00B11CE5">
            <w:pPr>
              <w:pStyle w:val="LFRNumberedBodyText"/>
              <w:numPr>
                <w:ilvl w:val="0"/>
                <w:numId w:val="0"/>
              </w:numPr>
              <w:rPr>
                <w:rFonts w:ascii="Arial" w:hAnsi="Arial" w:cs="Arial"/>
                <w:sz w:val="23"/>
                <w:szCs w:val="23"/>
              </w:rPr>
            </w:pPr>
            <w:r w:rsidRPr="00A216C7">
              <w:rPr>
                <w:rFonts w:ascii="Arial" w:hAnsi="Arial" w:cs="Arial"/>
                <w:sz w:val="23"/>
                <w:szCs w:val="23"/>
              </w:rPr>
              <w:t>Regulating the use of LFR</w:t>
            </w:r>
          </w:p>
        </w:tc>
        <w:tc>
          <w:tcPr>
            <w:tcW w:w="4496" w:type="dxa"/>
          </w:tcPr>
          <w:p w14:paraId="527363E0" w14:textId="206AF1FA" w:rsidR="006F388F" w:rsidRDefault="00B11CE5" w:rsidP="00B11CE5">
            <w:pPr>
              <w:pStyle w:val="LFRNumberedBodyText"/>
              <w:numPr>
                <w:ilvl w:val="0"/>
                <w:numId w:val="0"/>
              </w:numPr>
              <w:rPr>
                <w:rFonts w:ascii="Arial" w:hAnsi="Arial" w:cs="Arial"/>
                <w:sz w:val="23"/>
                <w:szCs w:val="23"/>
              </w:rPr>
            </w:pPr>
            <w:r w:rsidRPr="00B11CE5">
              <w:rPr>
                <w:rFonts w:ascii="Arial" w:hAnsi="Arial" w:cs="Arial"/>
                <w:sz w:val="23"/>
                <w:szCs w:val="23"/>
              </w:rPr>
              <w:t>a)</w:t>
            </w:r>
            <w:r>
              <w:rPr>
                <w:rFonts w:ascii="Arial" w:hAnsi="Arial" w:cs="Arial"/>
                <w:sz w:val="23"/>
                <w:szCs w:val="23"/>
              </w:rPr>
              <w:t xml:space="preserve"> </w:t>
            </w:r>
            <w:r w:rsidRPr="00B11CE5">
              <w:rPr>
                <w:rFonts w:ascii="Arial" w:hAnsi="Arial" w:cs="Arial"/>
                <w:sz w:val="23"/>
                <w:szCs w:val="23"/>
              </w:rPr>
              <w:t>LFR Policy</w:t>
            </w:r>
          </w:p>
          <w:p w14:paraId="6F557F7E" w14:textId="6493683F" w:rsidR="006F388F" w:rsidRPr="00B11CE5" w:rsidRDefault="006F388F" w:rsidP="00B11CE5">
            <w:pPr>
              <w:pStyle w:val="LFRNumberedBodyText"/>
              <w:numPr>
                <w:ilvl w:val="0"/>
                <w:numId w:val="0"/>
              </w:numPr>
              <w:rPr>
                <w:rFonts w:ascii="Arial" w:hAnsi="Arial" w:cs="Arial"/>
                <w:sz w:val="23"/>
                <w:szCs w:val="23"/>
              </w:rPr>
            </w:pPr>
            <w:r>
              <w:rPr>
                <w:rFonts w:ascii="Arial" w:hAnsi="Arial" w:cs="Arial"/>
                <w:sz w:val="23"/>
                <w:szCs w:val="23"/>
              </w:rPr>
              <w:t>b) LFR Procedures</w:t>
            </w:r>
          </w:p>
          <w:p w14:paraId="3A72C254" w14:textId="7BF05112" w:rsidR="00B11CE5" w:rsidRPr="00B11CE5" w:rsidRDefault="00B11CE5" w:rsidP="00B11CE5">
            <w:pPr>
              <w:pStyle w:val="LFRNumberedBodyText"/>
              <w:numPr>
                <w:ilvl w:val="0"/>
                <w:numId w:val="0"/>
              </w:numPr>
              <w:rPr>
                <w:rFonts w:ascii="Arial" w:hAnsi="Arial" w:cs="Arial"/>
                <w:sz w:val="23"/>
                <w:szCs w:val="23"/>
              </w:rPr>
            </w:pPr>
            <w:r>
              <w:rPr>
                <w:rFonts w:ascii="Arial" w:hAnsi="Arial" w:cs="Arial"/>
                <w:sz w:val="23"/>
                <w:szCs w:val="23"/>
              </w:rPr>
              <w:t xml:space="preserve">b) </w:t>
            </w:r>
            <w:r w:rsidRPr="00B11CE5">
              <w:rPr>
                <w:rFonts w:ascii="Arial" w:hAnsi="Arial" w:cs="Arial"/>
                <w:sz w:val="23"/>
                <w:szCs w:val="23"/>
              </w:rPr>
              <w:t>LFR Legal Mandate</w:t>
            </w:r>
          </w:p>
          <w:p w14:paraId="5F95DB5E" w14:textId="4D68E714" w:rsidR="00B11CE5" w:rsidRPr="00B11CE5" w:rsidRDefault="00B11CE5" w:rsidP="00B11CE5">
            <w:pPr>
              <w:pStyle w:val="LFRNumberedBodyText"/>
              <w:numPr>
                <w:ilvl w:val="0"/>
                <w:numId w:val="0"/>
              </w:numPr>
              <w:rPr>
                <w:rFonts w:ascii="Arial" w:hAnsi="Arial" w:cs="Arial"/>
                <w:sz w:val="23"/>
                <w:szCs w:val="23"/>
              </w:rPr>
            </w:pPr>
            <w:r>
              <w:rPr>
                <w:rFonts w:ascii="Arial" w:hAnsi="Arial" w:cs="Arial"/>
                <w:sz w:val="23"/>
                <w:szCs w:val="23"/>
              </w:rPr>
              <w:t xml:space="preserve">c) </w:t>
            </w:r>
            <w:r w:rsidRPr="00B11CE5">
              <w:rPr>
                <w:rFonts w:ascii="Arial" w:hAnsi="Arial" w:cs="Arial"/>
                <w:sz w:val="23"/>
                <w:szCs w:val="23"/>
              </w:rPr>
              <w:t>LFR DPIA</w:t>
            </w:r>
          </w:p>
          <w:p w14:paraId="2C943ED3" w14:textId="03B46356" w:rsidR="00B11CE5" w:rsidRPr="00B11CE5" w:rsidRDefault="00B11CE5" w:rsidP="00B11CE5">
            <w:pPr>
              <w:pStyle w:val="LFRNumberedBodyText"/>
              <w:numPr>
                <w:ilvl w:val="0"/>
                <w:numId w:val="0"/>
              </w:numPr>
              <w:rPr>
                <w:rFonts w:ascii="Arial" w:hAnsi="Arial" w:cs="Arial"/>
                <w:sz w:val="23"/>
                <w:szCs w:val="23"/>
              </w:rPr>
            </w:pPr>
            <w:r>
              <w:rPr>
                <w:rFonts w:ascii="Arial" w:hAnsi="Arial" w:cs="Arial"/>
                <w:sz w:val="23"/>
                <w:szCs w:val="23"/>
              </w:rPr>
              <w:t xml:space="preserve">e) </w:t>
            </w:r>
            <w:r w:rsidRPr="00B11CE5">
              <w:rPr>
                <w:rFonts w:ascii="Arial" w:hAnsi="Arial" w:cs="Arial"/>
                <w:sz w:val="23"/>
                <w:szCs w:val="23"/>
              </w:rPr>
              <w:t>LFR Equality Assessment</w:t>
            </w:r>
          </w:p>
          <w:p w14:paraId="7E63B1FF" w14:textId="70AA066B" w:rsidR="00B11CE5" w:rsidRPr="00A216C7" w:rsidRDefault="00B11CE5" w:rsidP="00B11CE5">
            <w:pPr>
              <w:pStyle w:val="LFRNumberedBodyText"/>
              <w:numPr>
                <w:ilvl w:val="0"/>
                <w:numId w:val="0"/>
              </w:numPr>
              <w:rPr>
                <w:rFonts w:ascii="Arial" w:hAnsi="Arial" w:cs="Arial"/>
                <w:sz w:val="23"/>
                <w:szCs w:val="23"/>
              </w:rPr>
            </w:pPr>
            <w:r>
              <w:rPr>
                <w:rFonts w:ascii="Arial" w:hAnsi="Arial" w:cs="Arial"/>
                <w:sz w:val="23"/>
                <w:szCs w:val="23"/>
              </w:rPr>
              <w:t xml:space="preserve">d) </w:t>
            </w:r>
            <w:r w:rsidRPr="00B11CE5">
              <w:rPr>
                <w:rFonts w:ascii="Arial" w:hAnsi="Arial" w:cs="Arial"/>
                <w:sz w:val="23"/>
                <w:szCs w:val="23"/>
              </w:rPr>
              <w:t>Data Protection Policy and Procedures</w:t>
            </w:r>
          </w:p>
        </w:tc>
      </w:tr>
    </w:tbl>
    <w:p w14:paraId="4B8B00DE" w14:textId="77777777" w:rsidR="00A216C7" w:rsidRPr="007C7E65" w:rsidRDefault="00A216C7" w:rsidP="00A216C7">
      <w:pPr>
        <w:pStyle w:val="Background"/>
        <w:numPr>
          <w:ilvl w:val="0"/>
          <w:numId w:val="0"/>
        </w:numPr>
        <w:rPr>
          <w:sz w:val="23"/>
          <w:szCs w:val="23"/>
        </w:rPr>
      </w:pPr>
    </w:p>
    <w:p w14:paraId="1DF4B8E1" w14:textId="78B1423E" w:rsidR="00FB1B7F" w:rsidRPr="001A542D" w:rsidRDefault="00403536" w:rsidP="001F5845">
      <w:pPr>
        <w:pStyle w:val="TitleClause"/>
        <w:rPr>
          <w:sz w:val="23"/>
          <w:szCs w:val="23"/>
        </w:rPr>
      </w:pPr>
      <w:r w:rsidRPr="001A542D">
        <w:rPr>
          <w:sz w:val="23"/>
          <w:szCs w:val="23"/>
        </w:rPr>
        <w:fldChar w:fldCharType="begin"/>
      </w:r>
      <w:r w:rsidRPr="001A542D">
        <w:rPr>
          <w:sz w:val="23"/>
          <w:szCs w:val="23"/>
        </w:rPr>
        <w:instrText>TC "1. Definitions and interpretation" \l 1</w:instrText>
      </w:r>
      <w:r w:rsidRPr="001A542D">
        <w:rPr>
          <w:sz w:val="23"/>
          <w:szCs w:val="23"/>
        </w:rPr>
        <w:fldChar w:fldCharType="end"/>
      </w:r>
      <w:bookmarkStart w:id="3" w:name="_Toc219888748"/>
      <w:r w:rsidR="00AE7F49">
        <w:rPr>
          <w:sz w:val="23"/>
          <w:szCs w:val="23"/>
        </w:rPr>
        <w:t>Common Law</w:t>
      </w:r>
      <w:bookmarkEnd w:id="3"/>
    </w:p>
    <w:p w14:paraId="4918330D" w14:textId="6C24CFF2" w:rsidR="006D3920" w:rsidRPr="001A542D" w:rsidRDefault="00AE7F49" w:rsidP="006D3920">
      <w:pPr>
        <w:pStyle w:val="Untitledsubclause1"/>
        <w:rPr>
          <w:sz w:val="23"/>
          <w:szCs w:val="23"/>
        </w:rPr>
      </w:pPr>
      <w:r w:rsidRPr="00AE7F49">
        <w:rPr>
          <w:sz w:val="23"/>
          <w:szCs w:val="23"/>
        </w:rPr>
        <w:t xml:space="preserve">The police have </w:t>
      </w:r>
      <w:proofErr w:type="gramStart"/>
      <w:r w:rsidRPr="00AE7F49">
        <w:rPr>
          <w:sz w:val="23"/>
          <w:szCs w:val="23"/>
        </w:rPr>
        <w:t>a number of</w:t>
      </w:r>
      <w:proofErr w:type="gramEnd"/>
      <w:r w:rsidRPr="00AE7F49">
        <w:rPr>
          <w:sz w:val="23"/>
          <w:szCs w:val="23"/>
        </w:rPr>
        <w:t xml:space="preserve"> long-established policing responsibilities and powers derived from common law which have been recognised by the </w:t>
      </w:r>
      <w:r w:rsidR="00E302B1">
        <w:rPr>
          <w:sz w:val="23"/>
          <w:szCs w:val="23"/>
        </w:rPr>
        <w:t>C</w:t>
      </w:r>
      <w:r w:rsidRPr="00AE7F49">
        <w:rPr>
          <w:sz w:val="23"/>
          <w:szCs w:val="23"/>
        </w:rPr>
        <w:t xml:space="preserve">ourts. </w:t>
      </w:r>
      <w:r>
        <w:rPr>
          <w:sz w:val="23"/>
          <w:szCs w:val="23"/>
        </w:rPr>
        <w:t>Cumbria Constabulary</w:t>
      </w:r>
      <w:r w:rsidRPr="00AE7F49">
        <w:rPr>
          <w:sz w:val="23"/>
          <w:szCs w:val="23"/>
        </w:rPr>
        <w:t xml:space="preserve"> is obliged to comply with common law and statutory safeguards in delivering its policing operational duties and relies on common law to discharge </w:t>
      </w:r>
      <w:proofErr w:type="gramStart"/>
      <w:r w:rsidRPr="00AE7F49">
        <w:rPr>
          <w:sz w:val="23"/>
          <w:szCs w:val="23"/>
        </w:rPr>
        <w:t>a number of</w:t>
      </w:r>
      <w:proofErr w:type="gramEnd"/>
      <w:r w:rsidRPr="00AE7F49">
        <w:rPr>
          <w:sz w:val="23"/>
          <w:szCs w:val="23"/>
        </w:rPr>
        <w:t xml:space="preserve"> its duties.</w:t>
      </w:r>
    </w:p>
    <w:p w14:paraId="1CE11FBD" w14:textId="5B3CB8C4" w:rsidR="00AE7F49" w:rsidRDefault="00AE7F49" w:rsidP="00AE7F49">
      <w:pPr>
        <w:pStyle w:val="Untitledsubclause1"/>
        <w:rPr>
          <w:sz w:val="23"/>
          <w:szCs w:val="23"/>
        </w:rPr>
      </w:pPr>
      <w:r w:rsidRPr="00AE7F49">
        <w:rPr>
          <w:sz w:val="23"/>
          <w:szCs w:val="23"/>
        </w:rPr>
        <w:t xml:space="preserve">Key common law powers </w:t>
      </w:r>
      <w:r>
        <w:rPr>
          <w:sz w:val="23"/>
          <w:szCs w:val="23"/>
        </w:rPr>
        <w:t xml:space="preserve">Cumbria </w:t>
      </w:r>
      <w:r w:rsidR="00324C09">
        <w:rPr>
          <w:sz w:val="23"/>
          <w:szCs w:val="23"/>
        </w:rPr>
        <w:t>C</w:t>
      </w:r>
      <w:r>
        <w:rPr>
          <w:sz w:val="23"/>
          <w:szCs w:val="23"/>
        </w:rPr>
        <w:t>onstabulary</w:t>
      </w:r>
      <w:r w:rsidRPr="00AE7F49">
        <w:rPr>
          <w:sz w:val="23"/>
          <w:szCs w:val="23"/>
        </w:rPr>
        <w:t xml:space="preserve"> may rely on when utilising LFR technology include the policing common law powers to:</w:t>
      </w:r>
    </w:p>
    <w:p w14:paraId="3FE1F3A1" w14:textId="721FB5C9" w:rsidR="00AE7F49" w:rsidRDefault="00AE7F49" w:rsidP="00AE7F49">
      <w:pPr>
        <w:pStyle w:val="Untitledsubclause2"/>
        <w:rPr>
          <w:sz w:val="23"/>
          <w:szCs w:val="23"/>
        </w:rPr>
      </w:pPr>
      <w:r>
        <w:rPr>
          <w:sz w:val="23"/>
          <w:szCs w:val="23"/>
        </w:rPr>
        <w:t xml:space="preserve">protect life and </w:t>
      </w:r>
      <w:proofErr w:type="gramStart"/>
      <w:r>
        <w:rPr>
          <w:sz w:val="23"/>
          <w:szCs w:val="23"/>
        </w:rPr>
        <w:t>property;</w:t>
      </w:r>
      <w:proofErr w:type="gramEnd"/>
    </w:p>
    <w:p w14:paraId="048BDE8F" w14:textId="6AD7CACE" w:rsidR="00AE7F49" w:rsidRDefault="00AE7F49" w:rsidP="00AE7F49">
      <w:pPr>
        <w:pStyle w:val="Untitledsubclause2"/>
        <w:rPr>
          <w:sz w:val="23"/>
          <w:szCs w:val="23"/>
        </w:rPr>
      </w:pPr>
      <w:r>
        <w:rPr>
          <w:sz w:val="23"/>
          <w:szCs w:val="23"/>
        </w:rPr>
        <w:t xml:space="preserve">preserve order and prevent threats to public </w:t>
      </w:r>
      <w:proofErr w:type="gramStart"/>
      <w:r>
        <w:rPr>
          <w:sz w:val="23"/>
          <w:szCs w:val="23"/>
        </w:rPr>
        <w:t>security;</w:t>
      </w:r>
      <w:proofErr w:type="gramEnd"/>
    </w:p>
    <w:p w14:paraId="6415AC11" w14:textId="2104CDAE" w:rsidR="00AE7F49" w:rsidRDefault="00AE7F49" w:rsidP="00AE7F49">
      <w:pPr>
        <w:pStyle w:val="Untitledsubclause2"/>
        <w:rPr>
          <w:sz w:val="23"/>
          <w:szCs w:val="23"/>
        </w:rPr>
      </w:pPr>
      <w:r>
        <w:rPr>
          <w:sz w:val="23"/>
          <w:szCs w:val="23"/>
        </w:rPr>
        <w:t xml:space="preserve">prevent and detect </w:t>
      </w:r>
      <w:proofErr w:type="gramStart"/>
      <w:r>
        <w:rPr>
          <w:sz w:val="23"/>
          <w:szCs w:val="23"/>
        </w:rPr>
        <w:t>crime;</w:t>
      </w:r>
      <w:proofErr w:type="gramEnd"/>
    </w:p>
    <w:p w14:paraId="29C11AEF" w14:textId="6D34D56D" w:rsidR="00AE7F49" w:rsidRDefault="00AE7F49" w:rsidP="00AE7F49">
      <w:pPr>
        <w:pStyle w:val="Untitledsubclause2"/>
        <w:rPr>
          <w:sz w:val="23"/>
          <w:szCs w:val="23"/>
        </w:rPr>
      </w:pPr>
      <w:r>
        <w:rPr>
          <w:sz w:val="23"/>
          <w:szCs w:val="23"/>
        </w:rPr>
        <w:t>bring offenders to justice; and</w:t>
      </w:r>
    </w:p>
    <w:p w14:paraId="7642756D" w14:textId="0C3839DB" w:rsidR="00AE7F49" w:rsidRDefault="00AE7F49" w:rsidP="00AE7F49">
      <w:pPr>
        <w:pStyle w:val="Untitledsubclause2"/>
        <w:rPr>
          <w:sz w:val="23"/>
          <w:szCs w:val="23"/>
        </w:rPr>
      </w:pPr>
      <w:r>
        <w:rPr>
          <w:sz w:val="23"/>
          <w:szCs w:val="23"/>
        </w:rPr>
        <w:t>uphold national security.</w:t>
      </w:r>
    </w:p>
    <w:p w14:paraId="5C616A85" w14:textId="0866EF7A" w:rsidR="00AE7F49" w:rsidRDefault="00AE7F49" w:rsidP="00AE7F49">
      <w:pPr>
        <w:pStyle w:val="Untitledsubclause1"/>
        <w:rPr>
          <w:sz w:val="23"/>
          <w:szCs w:val="23"/>
        </w:rPr>
      </w:pPr>
      <w:r w:rsidRPr="00AE7F49">
        <w:rPr>
          <w:sz w:val="23"/>
          <w:szCs w:val="23"/>
        </w:rPr>
        <w:t>The use of common law power as a legal basis to support the deployment use of LFR has been considered and recognised in the ‘Bridges’ case</w:t>
      </w:r>
      <w:r>
        <w:rPr>
          <w:sz w:val="23"/>
          <w:szCs w:val="23"/>
        </w:rPr>
        <w:t>:</w:t>
      </w:r>
    </w:p>
    <w:p w14:paraId="75DF4632" w14:textId="21B99ABC" w:rsidR="00AE7F49" w:rsidRDefault="00AE7F49" w:rsidP="00AE7F49">
      <w:pPr>
        <w:pStyle w:val="Untitledsubclause2"/>
        <w:rPr>
          <w:sz w:val="23"/>
          <w:szCs w:val="23"/>
        </w:rPr>
      </w:pPr>
      <w:r w:rsidRPr="00AE7F49">
        <w:rPr>
          <w:sz w:val="23"/>
          <w:szCs w:val="23"/>
        </w:rPr>
        <w:t>R (on the application of Edward Bridges) v The Chief Constable of South Wales Police</w:t>
      </w:r>
      <w:r>
        <w:rPr>
          <w:sz w:val="23"/>
          <w:szCs w:val="23"/>
        </w:rPr>
        <w:t xml:space="preserve"> </w:t>
      </w:r>
      <w:r>
        <w:rPr>
          <w:rStyle w:val="FootnoteReference"/>
          <w:sz w:val="23"/>
          <w:szCs w:val="23"/>
        </w:rPr>
        <w:footnoteReference w:id="8"/>
      </w:r>
      <w:r w:rsidRPr="00AE7F49">
        <w:rPr>
          <w:sz w:val="23"/>
          <w:szCs w:val="23"/>
        </w:rPr>
        <w:t>(“</w:t>
      </w:r>
      <w:r w:rsidRPr="00AE7F49">
        <w:rPr>
          <w:b/>
          <w:bCs/>
          <w:sz w:val="23"/>
          <w:szCs w:val="23"/>
        </w:rPr>
        <w:t>High Court Bridges</w:t>
      </w:r>
      <w:r w:rsidRPr="00AE7F49">
        <w:rPr>
          <w:sz w:val="23"/>
          <w:szCs w:val="23"/>
        </w:rPr>
        <w:t xml:space="preserve">”); and then on </w:t>
      </w:r>
      <w:proofErr w:type="gramStart"/>
      <w:r w:rsidRPr="00AE7F49">
        <w:rPr>
          <w:sz w:val="23"/>
          <w:szCs w:val="23"/>
        </w:rPr>
        <w:t>Appeal</w:t>
      </w:r>
      <w:proofErr w:type="gramEnd"/>
      <w:r w:rsidRPr="00AE7F49">
        <w:rPr>
          <w:sz w:val="23"/>
          <w:szCs w:val="23"/>
        </w:rPr>
        <w:t xml:space="preserve"> </w:t>
      </w:r>
      <w:proofErr w:type="gramStart"/>
      <w:r w:rsidRPr="00AE7F49">
        <w:rPr>
          <w:sz w:val="23"/>
          <w:szCs w:val="23"/>
        </w:rPr>
        <w:t>in</w:t>
      </w:r>
      <w:r>
        <w:rPr>
          <w:sz w:val="23"/>
          <w:szCs w:val="23"/>
        </w:rPr>
        <w:t>;</w:t>
      </w:r>
      <w:proofErr w:type="gramEnd"/>
    </w:p>
    <w:p w14:paraId="6D75DE54" w14:textId="114A23A7" w:rsidR="00AE7F49" w:rsidRDefault="00AE7F49" w:rsidP="00AE7F49">
      <w:pPr>
        <w:pStyle w:val="Untitledsubclause2"/>
        <w:rPr>
          <w:sz w:val="23"/>
          <w:szCs w:val="23"/>
        </w:rPr>
      </w:pPr>
      <w:r w:rsidRPr="00AE7F49">
        <w:rPr>
          <w:sz w:val="23"/>
          <w:szCs w:val="23"/>
        </w:rPr>
        <w:t>R (on the application of Edward Bridges) v The Chief Constable of South Wales Police</w:t>
      </w:r>
      <w:r>
        <w:rPr>
          <w:rStyle w:val="FootnoteReference"/>
          <w:sz w:val="23"/>
          <w:szCs w:val="23"/>
        </w:rPr>
        <w:footnoteReference w:id="9"/>
      </w:r>
      <w:r>
        <w:rPr>
          <w:sz w:val="23"/>
          <w:szCs w:val="23"/>
        </w:rPr>
        <w:t xml:space="preserve"> </w:t>
      </w:r>
      <w:r w:rsidRPr="00AE7F49">
        <w:rPr>
          <w:sz w:val="23"/>
          <w:szCs w:val="23"/>
        </w:rPr>
        <w:t>(“</w:t>
      </w:r>
      <w:r w:rsidR="00CF13D7">
        <w:rPr>
          <w:b/>
          <w:bCs/>
          <w:sz w:val="23"/>
          <w:szCs w:val="23"/>
        </w:rPr>
        <w:t xml:space="preserve">Bridges </w:t>
      </w:r>
      <w:r w:rsidRPr="00AE7F49">
        <w:rPr>
          <w:b/>
          <w:bCs/>
          <w:sz w:val="23"/>
          <w:szCs w:val="23"/>
        </w:rPr>
        <w:t>Appeal</w:t>
      </w:r>
      <w:r w:rsidRPr="00AE7F49">
        <w:rPr>
          <w:sz w:val="23"/>
          <w:szCs w:val="23"/>
        </w:rPr>
        <w:t>”).</w:t>
      </w:r>
    </w:p>
    <w:p w14:paraId="48679EFF" w14:textId="64467DCE" w:rsidR="00897D8B" w:rsidRDefault="0049710B" w:rsidP="0049710B">
      <w:pPr>
        <w:pStyle w:val="Untitledsubclause1"/>
        <w:rPr>
          <w:sz w:val="23"/>
          <w:szCs w:val="23"/>
        </w:rPr>
      </w:pPr>
      <w:r>
        <w:rPr>
          <w:sz w:val="23"/>
          <w:szCs w:val="23"/>
        </w:rPr>
        <w:t xml:space="preserve">In the </w:t>
      </w:r>
      <w:r w:rsidR="00CF13D7">
        <w:rPr>
          <w:sz w:val="23"/>
          <w:szCs w:val="23"/>
        </w:rPr>
        <w:t>Bridges Appeal</w:t>
      </w:r>
      <w:r>
        <w:rPr>
          <w:sz w:val="23"/>
          <w:szCs w:val="23"/>
        </w:rPr>
        <w:t>, it was held that t</w:t>
      </w:r>
      <w:r w:rsidRPr="0049710B">
        <w:rPr>
          <w:sz w:val="23"/>
          <w:szCs w:val="23"/>
        </w:rPr>
        <w:t>he use of automated facial recognition technology in a pilot project by the South Wales Police Force was</w:t>
      </w:r>
    </w:p>
    <w:p w14:paraId="6189D76C" w14:textId="0FCFDEA3" w:rsidR="00897D8B" w:rsidRDefault="0049710B" w:rsidP="00897D8B">
      <w:pPr>
        <w:pStyle w:val="Untitledsubclause2"/>
        <w:rPr>
          <w:sz w:val="23"/>
          <w:szCs w:val="23"/>
        </w:rPr>
      </w:pPr>
      <w:r w:rsidRPr="00897D8B">
        <w:rPr>
          <w:sz w:val="23"/>
          <w:szCs w:val="23"/>
        </w:rPr>
        <w:lastRenderedPageBreak/>
        <w:t>not "in accordance with the law" for the purposes of </w:t>
      </w:r>
      <w:r w:rsidRPr="00897D8B">
        <w:rPr>
          <w:i/>
          <w:sz w:val="23"/>
          <w:szCs w:val="23"/>
        </w:rPr>
        <w:t xml:space="preserve">ECHR </w:t>
      </w:r>
      <w:r w:rsidR="00D95A4B">
        <w:rPr>
          <w:i/>
          <w:sz w:val="23"/>
          <w:szCs w:val="23"/>
        </w:rPr>
        <w:t xml:space="preserve">Article </w:t>
      </w:r>
      <w:r w:rsidRPr="00897D8B">
        <w:rPr>
          <w:i/>
          <w:sz w:val="23"/>
          <w:szCs w:val="23"/>
        </w:rPr>
        <w:t>8(2)</w:t>
      </w:r>
      <w:r w:rsidRPr="00897D8B">
        <w:rPr>
          <w:sz w:val="23"/>
          <w:szCs w:val="23"/>
        </w:rPr>
        <w:t xml:space="preserve">: there was no clear guidance on where the technology could be used and who could be put on a </w:t>
      </w:r>
      <w:proofErr w:type="gramStart"/>
      <w:r w:rsidRPr="00897D8B">
        <w:rPr>
          <w:sz w:val="23"/>
          <w:szCs w:val="23"/>
        </w:rPr>
        <w:t>watchlist;</w:t>
      </w:r>
      <w:proofErr w:type="gramEnd"/>
    </w:p>
    <w:p w14:paraId="56475FBE" w14:textId="77777777" w:rsidR="00897D8B" w:rsidRDefault="0049710B" w:rsidP="00897D8B">
      <w:pPr>
        <w:pStyle w:val="Untitledsubclause2"/>
        <w:rPr>
          <w:sz w:val="23"/>
          <w:szCs w:val="23"/>
        </w:rPr>
      </w:pPr>
      <w:r w:rsidRPr="00897D8B">
        <w:rPr>
          <w:sz w:val="23"/>
          <w:szCs w:val="23"/>
        </w:rPr>
        <w:t>a data protection impact assessment was inadequate and not compliant with the </w:t>
      </w:r>
      <w:r w:rsidRPr="00897D8B">
        <w:rPr>
          <w:i/>
          <w:sz w:val="23"/>
          <w:szCs w:val="23"/>
        </w:rPr>
        <w:t>Data Protection Act 2018 Pt 3 s.64(3)</w:t>
      </w:r>
      <w:r w:rsidRPr="00897D8B">
        <w:rPr>
          <w:sz w:val="23"/>
          <w:szCs w:val="23"/>
        </w:rPr>
        <w:t>; and</w:t>
      </w:r>
    </w:p>
    <w:p w14:paraId="3EF78634" w14:textId="091719D9" w:rsidR="00AE7F49" w:rsidRPr="00897D8B" w:rsidRDefault="0049710B" w:rsidP="00897D8B">
      <w:pPr>
        <w:pStyle w:val="Untitledsubclause2"/>
        <w:rPr>
          <w:sz w:val="23"/>
          <w:szCs w:val="23"/>
        </w:rPr>
      </w:pPr>
      <w:r w:rsidRPr="00897D8B">
        <w:rPr>
          <w:sz w:val="23"/>
          <w:szCs w:val="23"/>
        </w:rPr>
        <w:t>the force had not taken reasonable steps to investigate whether the technology had a racial or gender bias, as required by the public sector equality duty.</w:t>
      </w:r>
    </w:p>
    <w:p w14:paraId="407EC56E" w14:textId="68A9550C" w:rsidR="00897D8B" w:rsidRPr="00897D8B" w:rsidRDefault="00897D8B" w:rsidP="00897D8B">
      <w:pPr>
        <w:pStyle w:val="Untitledsubclause1"/>
        <w:rPr>
          <w:sz w:val="23"/>
          <w:szCs w:val="23"/>
        </w:rPr>
      </w:pPr>
      <w:r w:rsidRPr="00897D8B">
        <w:rPr>
          <w:sz w:val="23"/>
          <w:szCs w:val="23"/>
        </w:rPr>
        <w:t xml:space="preserve">The </w:t>
      </w:r>
      <w:r>
        <w:rPr>
          <w:sz w:val="23"/>
          <w:szCs w:val="23"/>
        </w:rPr>
        <w:t>Bridges Appeal</w:t>
      </w:r>
      <w:r w:rsidRPr="00897D8B">
        <w:rPr>
          <w:sz w:val="23"/>
          <w:szCs w:val="23"/>
        </w:rPr>
        <w:t xml:space="preserve"> further summarised the legal basis in relation to compilation of </w:t>
      </w:r>
      <w:r>
        <w:rPr>
          <w:sz w:val="23"/>
          <w:szCs w:val="23"/>
        </w:rPr>
        <w:t>w</w:t>
      </w:r>
      <w:r w:rsidRPr="00897D8B">
        <w:rPr>
          <w:sz w:val="23"/>
          <w:szCs w:val="23"/>
        </w:rPr>
        <w:t xml:space="preserve">atchlists as being “both authorised under the Police and Criminal Evidence Act 1984 and within the powers of police at common law.” The reference to the 1984 Act is a reference to imagery obtained pursuant to </w:t>
      </w:r>
      <w:r w:rsidR="0062243A">
        <w:rPr>
          <w:sz w:val="23"/>
          <w:szCs w:val="23"/>
        </w:rPr>
        <w:t>s</w:t>
      </w:r>
      <w:r w:rsidRPr="00897D8B">
        <w:rPr>
          <w:sz w:val="23"/>
          <w:szCs w:val="23"/>
        </w:rPr>
        <w:t>ection 64A (Photographing of suspects etc.) of the Act and particularly section 64A(4)(a) which allows a photograph taken under the section to be “used … for any purpose related to the prevention or detection of crime, the investigation of an offence or the conduct of a prosecution or to the enforcement of a sentence”.</w:t>
      </w:r>
      <w:r>
        <w:rPr>
          <w:sz w:val="23"/>
          <w:szCs w:val="23"/>
        </w:rPr>
        <w:t xml:space="preserve"> </w:t>
      </w:r>
      <w:r w:rsidRPr="00897D8B">
        <w:rPr>
          <w:sz w:val="23"/>
          <w:szCs w:val="23"/>
        </w:rPr>
        <w:t xml:space="preserve">When considering the use of </w:t>
      </w:r>
      <w:r>
        <w:rPr>
          <w:sz w:val="23"/>
          <w:szCs w:val="23"/>
        </w:rPr>
        <w:t>automated facial recognition (</w:t>
      </w:r>
      <w:r w:rsidR="00E70376">
        <w:rPr>
          <w:sz w:val="23"/>
          <w:szCs w:val="23"/>
        </w:rPr>
        <w:t>“</w:t>
      </w:r>
      <w:r w:rsidRPr="00E50A4D">
        <w:rPr>
          <w:b/>
          <w:bCs/>
          <w:sz w:val="23"/>
          <w:szCs w:val="23"/>
        </w:rPr>
        <w:t>AFR</w:t>
      </w:r>
      <w:r w:rsidR="00E70376">
        <w:rPr>
          <w:sz w:val="23"/>
          <w:szCs w:val="23"/>
        </w:rPr>
        <w:t>”</w:t>
      </w:r>
      <w:r>
        <w:rPr>
          <w:sz w:val="23"/>
          <w:szCs w:val="23"/>
        </w:rPr>
        <w:t>)</w:t>
      </w:r>
      <w:r w:rsidRPr="00897D8B">
        <w:rPr>
          <w:sz w:val="23"/>
          <w:szCs w:val="23"/>
        </w:rPr>
        <w:t xml:space="preserve"> technology, </w:t>
      </w:r>
      <w:r w:rsidR="004D04D0">
        <w:rPr>
          <w:sz w:val="23"/>
          <w:szCs w:val="23"/>
        </w:rPr>
        <w:t>A</w:t>
      </w:r>
      <w:r w:rsidRPr="00897D8B">
        <w:rPr>
          <w:sz w:val="23"/>
          <w:szCs w:val="23"/>
        </w:rPr>
        <w:t xml:space="preserve">uthorising </w:t>
      </w:r>
      <w:r w:rsidR="004D04D0">
        <w:rPr>
          <w:sz w:val="23"/>
          <w:szCs w:val="23"/>
        </w:rPr>
        <w:t>O</w:t>
      </w:r>
      <w:r w:rsidRPr="00897D8B">
        <w:rPr>
          <w:sz w:val="23"/>
          <w:szCs w:val="23"/>
        </w:rPr>
        <w:t xml:space="preserve">fficers must be clear as to the common law policing power that is relied upon for lawfully authorising the use of </w:t>
      </w:r>
      <w:r>
        <w:rPr>
          <w:sz w:val="23"/>
          <w:szCs w:val="23"/>
        </w:rPr>
        <w:t>A</w:t>
      </w:r>
      <w:r w:rsidRPr="00897D8B">
        <w:rPr>
          <w:sz w:val="23"/>
          <w:szCs w:val="23"/>
        </w:rPr>
        <w:t>FR and record this as part of the decision-making process.</w:t>
      </w:r>
    </w:p>
    <w:p w14:paraId="26051A02" w14:textId="779BB05A" w:rsidR="00CF13D7" w:rsidRPr="00CF13D7" w:rsidRDefault="00CF13D7" w:rsidP="00CF13D7">
      <w:pPr>
        <w:pStyle w:val="Untitledsubclause1"/>
        <w:rPr>
          <w:sz w:val="23"/>
          <w:szCs w:val="23"/>
        </w:rPr>
      </w:pPr>
      <w:r>
        <w:rPr>
          <w:sz w:val="23"/>
          <w:szCs w:val="23"/>
        </w:rPr>
        <w:t>The Bridges Appeal held that the High</w:t>
      </w:r>
      <w:r w:rsidRPr="00CF13D7">
        <w:rPr>
          <w:sz w:val="23"/>
          <w:szCs w:val="23"/>
        </w:rPr>
        <w:t xml:space="preserve"> </w:t>
      </w:r>
      <w:r>
        <w:rPr>
          <w:sz w:val="23"/>
          <w:szCs w:val="23"/>
        </w:rPr>
        <w:t>C</w:t>
      </w:r>
      <w:r w:rsidRPr="00CF13D7">
        <w:rPr>
          <w:sz w:val="23"/>
          <w:szCs w:val="23"/>
        </w:rPr>
        <w:t>ourt had been wrong to find that the data protection impact assessment, as required by s</w:t>
      </w:r>
      <w:r w:rsidR="00D46DDB">
        <w:rPr>
          <w:sz w:val="23"/>
          <w:szCs w:val="23"/>
        </w:rPr>
        <w:t xml:space="preserve">ection </w:t>
      </w:r>
      <w:r w:rsidRPr="00CF13D7">
        <w:rPr>
          <w:sz w:val="23"/>
          <w:szCs w:val="23"/>
        </w:rPr>
        <w:t xml:space="preserve">64 of the </w:t>
      </w:r>
      <w:r>
        <w:rPr>
          <w:sz w:val="23"/>
          <w:szCs w:val="23"/>
        </w:rPr>
        <w:t xml:space="preserve">Data Protection Act </w:t>
      </w:r>
      <w:r w:rsidRPr="00CF13D7">
        <w:rPr>
          <w:sz w:val="23"/>
          <w:szCs w:val="23"/>
        </w:rPr>
        <w:t>2018 was adequate. The impact assessment had been written on the basis that</w:t>
      </w:r>
      <w:r>
        <w:rPr>
          <w:sz w:val="23"/>
          <w:szCs w:val="23"/>
        </w:rPr>
        <w:t xml:space="preserve"> ECHR</w:t>
      </w:r>
      <w:r w:rsidRPr="00CF13D7">
        <w:rPr>
          <w:sz w:val="23"/>
          <w:szCs w:val="23"/>
        </w:rPr>
        <w:t xml:space="preserve"> </w:t>
      </w:r>
      <w:r w:rsidR="00D95A4B">
        <w:rPr>
          <w:sz w:val="23"/>
          <w:szCs w:val="23"/>
        </w:rPr>
        <w:t xml:space="preserve">Article </w:t>
      </w:r>
      <w:r w:rsidRPr="00CF13D7">
        <w:rPr>
          <w:sz w:val="23"/>
          <w:szCs w:val="23"/>
        </w:rPr>
        <w:t>8 was not infringed, when, in fact, it was infringed because AFR involved impermissibly wide areas of discretion. The impact assessment failed to properly assess the rights and freedoms of data subjects and failed to address the measures envisaged to mitigate the risks arising from the identified deficiencies, as required by s</w:t>
      </w:r>
      <w:r w:rsidR="00D46DDB">
        <w:rPr>
          <w:sz w:val="23"/>
          <w:szCs w:val="23"/>
        </w:rPr>
        <w:t xml:space="preserve">ection </w:t>
      </w:r>
      <w:r w:rsidRPr="00CF13D7">
        <w:rPr>
          <w:sz w:val="23"/>
          <w:szCs w:val="23"/>
        </w:rPr>
        <w:t>64(3)(b) and s</w:t>
      </w:r>
      <w:r w:rsidR="00D46DDB">
        <w:rPr>
          <w:sz w:val="23"/>
          <w:szCs w:val="23"/>
        </w:rPr>
        <w:t xml:space="preserve">ection </w:t>
      </w:r>
      <w:r w:rsidRPr="00CF13D7">
        <w:rPr>
          <w:sz w:val="23"/>
          <w:szCs w:val="23"/>
        </w:rPr>
        <w:t>64(3)(c) of the 2018 Act</w:t>
      </w:r>
      <w:r w:rsidR="001A0C10">
        <w:rPr>
          <w:sz w:val="23"/>
          <w:szCs w:val="23"/>
        </w:rPr>
        <w:t>.</w:t>
      </w:r>
      <w:r w:rsidR="001A0C10">
        <w:rPr>
          <w:rStyle w:val="FootnoteReference"/>
          <w:sz w:val="23"/>
          <w:szCs w:val="23"/>
        </w:rPr>
        <w:footnoteReference w:id="10"/>
      </w:r>
    </w:p>
    <w:p w14:paraId="2CC397D1" w14:textId="64346E92" w:rsidR="00CF13D7" w:rsidRPr="00CF13D7" w:rsidRDefault="00CF13D7" w:rsidP="00CF13D7">
      <w:pPr>
        <w:pStyle w:val="Untitledsubclause1"/>
        <w:rPr>
          <w:sz w:val="23"/>
          <w:szCs w:val="23"/>
        </w:rPr>
      </w:pPr>
      <w:r w:rsidRPr="00CF13D7">
        <w:rPr>
          <w:sz w:val="23"/>
          <w:szCs w:val="23"/>
        </w:rPr>
        <w:t>In relation to data processing, the appellant submitted that one of the reasons why AFR use involved the unlawful processing of personal data was because the police force had not satisfied the requirements of the first data protection principle in </w:t>
      </w:r>
      <w:r w:rsidR="00D46DDB">
        <w:rPr>
          <w:sz w:val="23"/>
          <w:szCs w:val="23"/>
        </w:rPr>
        <w:t xml:space="preserve">section </w:t>
      </w:r>
      <w:r w:rsidRPr="00CF13D7">
        <w:rPr>
          <w:sz w:val="23"/>
          <w:szCs w:val="23"/>
        </w:rPr>
        <w:t xml:space="preserve">35 of the </w:t>
      </w:r>
      <w:r>
        <w:rPr>
          <w:sz w:val="23"/>
          <w:szCs w:val="23"/>
        </w:rPr>
        <w:t xml:space="preserve">Data Protection Act </w:t>
      </w:r>
      <w:r w:rsidRPr="00CF13D7">
        <w:rPr>
          <w:sz w:val="23"/>
          <w:szCs w:val="23"/>
        </w:rPr>
        <w:t xml:space="preserve">2018, namely that data processing had to be lawful and fair. The </w:t>
      </w:r>
      <w:r w:rsidR="00E302B1">
        <w:rPr>
          <w:sz w:val="23"/>
          <w:szCs w:val="23"/>
        </w:rPr>
        <w:t>C</w:t>
      </w:r>
      <w:r w:rsidRPr="00CF13D7">
        <w:rPr>
          <w:sz w:val="23"/>
          <w:szCs w:val="23"/>
        </w:rPr>
        <w:t>ourt had held the processing to be "sensitive processing" within s</w:t>
      </w:r>
      <w:r w:rsidR="00D46DDB">
        <w:rPr>
          <w:sz w:val="23"/>
          <w:szCs w:val="23"/>
        </w:rPr>
        <w:t xml:space="preserve">ection </w:t>
      </w:r>
      <w:r w:rsidRPr="00CF13D7">
        <w:rPr>
          <w:sz w:val="23"/>
          <w:szCs w:val="23"/>
        </w:rPr>
        <w:t>35(5), which meant that the defendant had to have an "appropriate policy document in place" meeting the requirements of s</w:t>
      </w:r>
      <w:r w:rsidR="00D46DDB">
        <w:rPr>
          <w:sz w:val="23"/>
          <w:szCs w:val="23"/>
        </w:rPr>
        <w:t xml:space="preserve">ection </w:t>
      </w:r>
      <w:r w:rsidRPr="00CF13D7">
        <w:rPr>
          <w:sz w:val="23"/>
          <w:szCs w:val="23"/>
        </w:rPr>
        <w:t xml:space="preserve">42. The </w:t>
      </w:r>
      <w:r w:rsidR="00E302B1">
        <w:rPr>
          <w:sz w:val="23"/>
          <w:szCs w:val="23"/>
        </w:rPr>
        <w:t>C</w:t>
      </w:r>
      <w:r w:rsidRPr="00CF13D7">
        <w:rPr>
          <w:sz w:val="23"/>
          <w:szCs w:val="23"/>
        </w:rPr>
        <w:t xml:space="preserve">ourt had been correct to find that the question whether an appropriate policy document was in place did not need </w:t>
      </w:r>
      <w:r w:rsidRPr="00CF13D7">
        <w:rPr>
          <w:sz w:val="23"/>
          <w:szCs w:val="23"/>
        </w:rPr>
        <w:lastRenderedPageBreak/>
        <w:t xml:space="preserve">to be determined because the two deployments of AFR in the instant case occurred before the </w:t>
      </w:r>
      <w:r w:rsidR="00897D8B">
        <w:rPr>
          <w:sz w:val="23"/>
          <w:szCs w:val="23"/>
        </w:rPr>
        <w:t xml:space="preserve">Data Protection Act 2018 </w:t>
      </w:r>
      <w:r w:rsidRPr="00CF13D7">
        <w:rPr>
          <w:sz w:val="23"/>
          <w:szCs w:val="23"/>
        </w:rPr>
        <w:t>came into force</w:t>
      </w:r>
      <w:r w:rsidR="001A0C10">
        <w:rPr>
          <w:sz w:val="23"/>
          <w:szCs w:val="23"/>
        </w:rPr>
        <w:t>.</w:t>
      </w:r>
      <w:r w:rsidR="001A0C10">
        <w:rPr>
          <w:rStyle w:val="FootnoteReference"/>
          <w:sz w:val="23"/>
          <w:szCs w:val="23"/>
        </w:rPr>
        <w:footnoteReference w:id="11"/>
      </w:r>
    </w:p>
    <w:p w14:paraId="29A5C11E" w14:textId="6A06C547" w:rsidR="0049710B" w:rsidRPr="00375FBE" w:rsidRDefault="00897D8B" w:rsidP="00375FBE">
      <w:pPr>
        <w:pStyle w:val="Untitledsubclause1"/>
        <w:rPr>
          <w:sz w:val="23"/>
          <w:szCs w:val="23"/>
        </w:rPr>
      </w:pPr>
      <w:r>
        <w:rPr>
          <w:sz w:val="23"/>
          <w:szCs w:val="23"/>
        </w:rPr>
        <w:t>Further, the Bridges Appeal held that the High</w:t>
      </w:r>
      <w:r w:rsidR="00CF13D7" w:rsidRPr="00897D8B">
        <w:rPr>
          <w:sz w:val="23"/>
          <w:szCs w:val="23"/>
        </w:rPr>
        <w:t xml:space="preserve"> </w:t>
      </w:r>
      <w:r>
        <w:rPr>
          <w:sz w:val="23"/>
          <w:szCs w:val="23"/>
        </w:rPr>
        <w:t>C</w:t>
      </w:r>
      <w:r w:rsidR="00CF13D7" w:rsidRPr="00897D8B">
        <w:rPr>
          <w:sz w:val="23"/>
          <w:szCs w:val="23"/>
        </w:rPr>
        <w:t>ourt had been wrong to find that the force had done all it reasonably could to fulfil the duty</w:t>
      </w:r>
      <w:r>
        <w:rPr>
          <w:sz w:val="23"/>
          <w:szCs w:val="23"/>
        </w:rPr>
        <w:t xml:space="preserve"> to public sector equality</w:t>
      </w:r>
      <w:r w:rsidR="00CF13D7" w:rsidRPr="00897D8B">
        <w:rPr>
          <w:sz w:val="23"/>
          <w:szCs w:val="23"/>
        </w:rPr>
        <w:t xml:space="preserve">. Public concern about the relationship between the police and BAME communities had not </w:t>
      </w:r>
      <w:proofErr w:type="gramStart"/>
      <w:r w:rsidR="00CF13D7" w:rsidRPr="00897D8B">
        <w:rPr>
          <w:sz w:val="23"/>
          <w:szCs w:val="23"/>
        </w:rPr>
        <w:t>diminished</w:t>
      </w:r>
      <w:proofErr w:type="gramEnd"/>
      <w:r w:rsidR="00CF13D7" w:rsidRPr="00897D8B">
        <w:rPr>
          <w:sz w:val="23"/>
          <w:szCs w:val="23"/>
        </w:rPr>
        <w:t xml:space="preserve"> and the duty was important to ensure that a public authority did not inadvertently overlook the potential discriminatory impact of a new, seemingly neutral, policy. The police force had never investigated whether AFR had an unacceptable bias on grounds of race or gender. The fact that the technology was being piloted made no difference to the duty</w:t>
      </w:r>
      <w:r w:rsidR="001A0C10">
        <w:rPr>
          <w:sz w:val="23"/>
          <w:szCs w:val="23"/>
        </w:rPr>
        <w:t>.</w:t>
      </w:r>
      <w:r w:rsidR="001A0C10">
        <w:rPr>
          <w:rStyle w:val="FootnoteReference"/>
          <w:sz w:val="23"/>
          <w:szCs w:val="23"/>
        </w:rPr>
        <w:footnoteReference w:id="12"/>
      </w:r>
    </w:p>
    <w:p w14:paraId="1DF4B8E5" w14:textId="7DF49F89" w:rsidR="00FB1B7F" w:rsidRPr="001A542D" w:rsidRDefault="00403536" w:rsidP="006D3920">
      <w:pPr>
        <w:pStyle w:val="TitleClause"/>
        <w:rPr>
          <w:sz w:val="23"/>
          <w:szCs w:val="23"/>
        </w:rPr>
      </w:pPr>
      <w:r w:rsidRPr="001A542D">
        <w:rPr>
          <w:sz w:val="23"/>
          <w:szCs w:val="23"/>
        </w:rPr>
        <w:fldChar w:fldCharType="begin"/>
      </w:r>
      <w:r w:rsidRPr="001A542D">
        <w:rPr>
          <w:sz w:val="23"/>
          <w:szCs w:val="23"/>
        </w:rPr>
        <w:instrText>TC "2. Effect of this agreement" \l 1</w:instrText>
      </w:r>
      <w:r w:rsidRPr="001A542D">
        <w:rPr>
          <w:sz w:val="23"/>
          <w:szCs w:val="23"/>
        </w:rPr>
        <w:fldChar w:fldCharType="end"/>
      </w:r>
      <w:bookmarkStart w:id="4" w:name="_Toc219888749"/>
      <w:r w:rsidR="00375FBE">
        <w:rPr>
          <w:sz w:val="23"/>
          <w:szCs w:val="23"/>
        </w:rPr>
        <w:t>Police and Criminal Evidence Act 1984</w:t>
      </w:r>
      <w:r w:rsidR="00FF52C4">
        <w:rPr>
          <w:sz w:val="23"/>
          <w:szCs w:val="23"/>
        </w:rPr>
        <w:t xml:space="preserve"> (“PACE”)</w:t>
      </w:r>
      <w:bookmarkEnd w:id="4"/>
    </w:p>
    <w:p w14:paraId="76638965" w14:textId="775636E6" w:rsidR="006D3920" w:rsidRDefault="00FF52C4" w:rsidP="006D3920">
      <w:pPr>
        <w:pStyle w:val="Untitledsubclause1"/>
        <w:rPr>
          <w:sz w:val="23"/>
          <w:szCs w:val="23"/>
        </w:rPr>
      </w:pPr>
      <w:r>
        <w:rPr>
          <w:sz w:val="23"/>
          <w:szCs w:val="23"/>
        </w:rPr>
        <w:t>LFR use must be in accordance with the policing powers contained in PACE, including the treatment of individuals and data collection. Whilst PACE does not expressly regulate the use of LFR, it provides a statutory framework of police powers which assist.</w:t>
      </w:r>
    </w:p>
    <w:p w14:paraId="285D23D0" w14:textId="1507E2A6" w:rsidR="00FF52C4" w:rsidRDefault="00FF52C4" w:rsidP="006D3920">
      <w:pPr>
        <w:pStyle w:val="Untitledsubclause1"/>
        <w:rPr>
          <w:sz w:val="23"/>
          <w:szCs w:val="23"/>
        </w:rPr>
      </w:pPr>
      <w:r>
        <w:rPr>
          <w:sz w:val="23"/>
          <w:szCs w:val="23"/>
        </w:rPr>
        <w:t xml:space="preserve">Section 64A PACE permits photographing a person who is detained at a </w:t>
      </w:r>
      <w:r w:rsidR="0015627C">
        <w:rPr>
          <w:sz w:val="23"/>
          <w:szCs w:val="23"/>
        </w:rPr>
        <w:t>station and</w:t>
      </w:r>
      <w:r w:rsidR="005048A2">
        <w:rPr>
          <w:sz w:val="23"/>
          <w:szCs w:val="23"/>
        </w:rPr>
        <w:t xml:space="preserve"> further permits </w:t>
      </w:r>
      <w:r w:rsidR="005048A2" w:rsidRPr="005048A2">
        <w:rPr>
          <w:sz w:val="23"/>
          <w:szCs w:val="23"/>
        </w:rPr>
        <w:t xml:space="preserve">for </w:t>
      </w:r>
      <w:r w:rsidR="005048A2">
        <w:rPr>
          <w:sz w:val="23"/>
          <w:szCs w:val="23"/>
        </w:rPr>
        <w:t>such ph</w:t>
      </w:r>
      <w:r w:rsidR="005048A2" w:rsidRPr="005048A2">
        <w:rPr>
          <w:sz w:val="23"/>
          <w:szCs w:val="23"/>
        </w:rPr>
        <w:t>otographs to be used for the prevention and detection of crime, the investigation of offences or the conduct of prosecutions.</w:t>
      </w:r>
    </w:p>
    <w:p w14:paraId="3B21E13C" w14:textId="1CC7F841" w:rsidR="005048A2" w:rsidRPr="00FF52C4" w:rsidRDefault="005048A2" w:rsidP="006D3920">
      <w:pPr>
        <w:pStyle w:val="Untitledsubclause1"/>
        <w:rPr>
          <w:sz w:val="23"/>
          <w:szCs w:val="23"/>
        </w:rPr>
      </w:pPr>
      <w:r>
        <w:rPr>
          <w:sz w:val="23"/>
          <w:szCs w:val="23"/>
        </w:rPr>
        <w:t>PACE establishes statutory controls over the taking, retention and use of certain biometric data (limited to fingerprints and DNA). Whilst not strictly facial recognition biometric data, the principles underpinning PACE biometric safeguards, including but to limited to the strict retention rules and necessity-based justifications must inform LFR related practices.</w:t>
      </w:r>
    </w:p>
    <w:p w14:paraId="1DF4B8E7" w14:textId="77977E7C" w:rsidR="00FB1B7F" w:rsidRPr="001A542D" w:rsidRDefault="00403536" w:rsidP="001F5845">
      <w:pPr>
        <w:pStyle w:val="TitleClause"/>
        <w:rPr>
          <w:sz w:val="23"/>
          <w:szCs w:val="23"/>
        </w:rPr>
      </w:pPr>
      <w:r w:rsidRPr="001A542D">
        <w:rPr>
          <w:sz w:val="23"/>
          <w:szCs w:val="23"/>
        </w:rPr>
        <w:fldChar w:fldCharType="begin"/>
      </w:r>
      <w:r w:rsidRPr="001A542D">
        <w:rPr>
          <w:sz w:val="23"/>
          <w:szCs w:val="23"/>
        </w:rPr>
        <w:instrText>TC "3. Payment" \l 1</w:instrText>
      </w:r>
      <w:r w:rsidRPr="001A542D">
        <w:rPr>
          <w:sz w:val="23"/>
          <w:szCs w:val="23"/>
        </w:rPr>
        <w:fldChar w:fldCharType="end"/>
      </w:r>
      <w:bookmarkStart w:id="5" w:name="_Toc219888750"/>
      <w:r w:rsidR="0015627C">
        <w:rPr>
          <w:sz w:val="23"/>
          <w:szCs w:val="23"/>
        </w:rPr>
        <w:t>Human Rights Act 1998</w:t>
      </w:r>
      <w:bookmarkEnd w:id="5"/>
    </w:p>
    <w:p w14:paraId="39217103" w14:textId="38F78860" w:rsidR="0015627C" w:rsidRDefault="0015627C" w:rsidP="0015627C">
      <w:pPr>
        <w:pStyle w:val="Untitledsubclause1"/>
        <w:rPr>
          <w:sz w:val="23"/>
          <w:szCs w:val="23"/>
        </w:rPr>
      </w:pPr>
      <w:r>
        <w:rPr>
          <w:sz w:val="23"/>
          <w:szCs w:val="23"/>
        </w:rPr>
        <w:t xml:space="preserve">Cumbria Constabulary’s </w:t>
      </w:r>
      <w:r w:rsidRPr="0015627C">
        <w:rPr>
          <w:sz w:val="23"/>
          <w:szCs w:val="23"/>
        </w:rPr>
        <w:t xml:space="preserve">use of LFR must </w:t>
      </w:r>
      <w:proofErr w:type="gramStart"/>
      <w:r w:rsidRPr="0015627C">
        <w:rPr>
          <w:sz w:val="23"/>
          <w:szCs w:val="23"/>
        </w:rPr>
        <w:t>be in compliance with</w:t>
      </w:r>
      <w:proofErr w:type="gramEnd"/>
      <w:r w:rsidRPr="0015627C">
        <w:rPr>
          <w:sz w:val="23"/>
          <w:szCs w:val="23"/>
        </w:rPr>
        <w:t xml:space="preserve"> the </w:t>
      </w:r>
      <w:r w:rsidR="00C7287C">
        <w:rPr>
          <w:sz w:val="23"/>
          <w:szCs w:val="23"/>
        </w:rPr>
        <w:t xml:space="preserve">convention rights as set out in the </w:t>
      </w:r>
      <w:r w:rsidRPr="0015627C">
        <w:rPr>
          <w:sz w:val="23"/>
          <w:szCs w:val="23"/>
        </w:rPr>
        <w:t xml:space="preserve">Human Rights Act 1998. LFR technology engages the Human Rights Act 1998 and </w:t>
      </w:r>
      <w:proofErr w:type="gramStart"/>
      <w:r w:rsidRPr="0015627C">
        <w:rPr>
          <w:sz w:val="23"/>
          <w:szCs w:val="23"/>
        </w:rPr>
        <w:t>in particular has</w:t>
      </w:r>
      <w:proofErr w:type="gramEnd"/>
      <w:r w:rsidRPr="0015627C">
        <w:rPr>
          <w:sz w:val="23"/>
          <w:szCs w:val="23"/>
        </w:rPr>
        <w:t xml:space="preserve"> the potential to impact upon an individual’s Article 8</w:t>
      </w:r>
      <w:r w:rsidR="00C7287C">
        <w:rPr>
          <w:sz w:val="23"/>
          <w:szCs w:val="23"/>
        </w:rPr>
        <w:t xml:space="preserve"> ECHR</w:t>
      </w:r>
      <w:r w:rsidRPr="0015627C">
        <w:rPr>
          <w:sz w:val="23"/>
          <w:szCs w:val="23"/>
        </w:rPr>
        <w:t xml:space="preserve"> right</w:t>
      </w:r>
      <w:r w:rsidR="00B53091">
        <w:rPr>
          <w:sz w:val="23"/>
          <w:szCs w:val="23"/>
        </w:rPr>
        <w:t>s</w:t>
      </w:r>
      <w:r>
        <w:rPr>
          <w:sz w:val="23"/>
          <w:szCs w:val="23"/>
        </w:rPr>
        <w:t>;</w:t>
      </w:r>
      <w:r w:rsidRPr="0015627C">
        <w:rPr>
          <w:sz w:val="23"/>
          <w:szCs w:val="23"/>
        </w:rPr>
        <w:t xml:space="preserve"> the right</w:t>
      </w:r>
      <w:r w:rsidR="00B53091">
        <w:rPr>
          <w:sz w:val="23"/>
          <w:szCs w:val="23"/>
        </w:rPr>
        <w:t>s</w:t>
      </w:r>
      <w:r w:rsidRPr="0015627C">
        <w:rPr>
          <w:sz w:val="23"/>
          <w:szCs w:val="23"/>
        </w:rPr>
        <w:t xml:space="preserve"> to respect for private and family life. Th</w:t>
      </w:r>
      <w:r w:rsidR="009F41E3">
        <w:rPr>
          <w:sz w:val="23"/>
          <w:szCs w:val="23"/>
        </w:rPr>
        <w:t>ese</w:t>
      </w:r>
      <w:r w:rsidRPr="0015627C">
        <w:rPr>
          <w:sz w:val="23"/>
          <w:szCs w:val="23"/>
        </w:rPr>
        <w:t xml:space="preserve"> </w:t>
      </w:r>
      <w:r>
        <w:rPr>
          <w:sz w:val="23"/>
          <w:szCs w:val="23"/>
        </w:rPr>
        <w:t>right</w:t>
      </w:r>
      <w:r w:rsidR="009F41E3">
        <w:rPr>
          <w:sz w:val="23"/>
          <w:szCs w:val="23"/>
        </w:rPr>
        <w:t>s</w:t>
      </w:r>
      <w:r>
        <w:rPr>
          <w:sz w:val="23"/>
          <w:szCs w:val="23"/>
        </w:rPr>
        <w:t xml:space="preserve"> </w:t>
      </w:r>
      <w:proofErr w:type="gramStart"/>
      <w:r w:rsidRPr="0015627C">
        <w:rPr>
          <w:sz w:val="23"/>
          <w:szCs w:val="23"/>
        </w:rPr>
        <w:t>provides</w:t>
      </w:r>
      <w:proofErr w:type="gramEnd"/>
      <w:r w:rsidRPr="0015627C">
        <w:rPr>
          <w:sz w:val="23"/>
          <w:szCs w:val="23"/>
        </w:rPr>
        <w:t>:</w:t>
      </w:r>
    </w:p>
    <w:p w14:paraId="0418F628" w14:textId="122DFC48" w:rsidR="0015627C" w:rsidRDefault="0015627C" w:rsidP="0015627C">
      <w:pPr>
        <w:pStyle w:val="Untitledsubclause1"/>
        <w:numPr>
          <w:ilvl w:val="0"/>
          <w:numId w:val="0"/>
        </w:numPr>
        <w:ind w:left="720"/>
        <w:rPr>
          <w:sz w:val="23"/>
          <w:szCs w:val="23"/>
        </w:rPr>
      </w:pPr>
      <w:r w:rsidRPr="00C7287C">
        <w:rPr>
          <w:i/>
          <w:iCs/>
          <w:sz w:val="23"/>
          <w:szCs w:val="23"/>
        </w:rPr>
        <w:t>“</w:t>
      </w:r>
      <w:r w:rsidR="00C7287C" w:rsidRPr="00C7287C">
        <w:rPr>
          <w:i/>
          <w:iCs/>
          <w:sz w:val="23"/>
          <w:szCs w:val="23"/>
        </w:rPr>
        <w:t xml:space="preserve">Everyone has the right to respect for his private and family life, his home and his correspondence and that </w:t>
      </w:r>
      <w:r w:rsidR="00C7287C">
        <w:rPr>
          <w:i/>
          <w:iCs/>
          <w:sz w:val="23"/>
          <w:szCs w:val="23"/>
        </w:rPr>
        <w:t>t</w:t>
      </w:r>
      <w:r w:rsidRPr="0015627C">
        <w:rPr>
          <w:i/>
          <w:iCs/>
          <w:sz w:val="23"/>
          <w:szCs w:val="23"/>
        </w:rPr>
        <w:t xml:space="preserve">here shall be no interference by a public authority with the exercise of the right except such as in accordance with the law and is necessary in a demographic society in the interests of national security, public safety or the economic </w:t>
      </w:r>
      <w:r w:rsidRPr="0015627C">
        <w:rPr>
          <w:i/>
          <w:iCs/>
          <w:sz w:val="23"/>
          <w:szCs w:val="23"/>
        </w:rPr>
        <w:lastRenderedPageBreak/>
        <w:t>well-being of the country, for the prevention of disorder or crime, for the protection of health or morals, or for the protection of the rights and freedoms of others.</w:t>
      </w:r>
      <w:r>
        <w:rPr>
          <w:sz w:val="23"/>
          <w:szCs w:val="23"/>
        </w:rPr>
        <w:t>”</w:t>
      </w:r>
    </w:p>
    <w:p w14:paraId="653E0A7B" w14:textId="18FC7F0C" w:rsidR="0015627C" w:rsidRDefault="0015627C" w:rsidP="0015627C">
      <w:pPr>
        <w:pStyle w:val="Untitledsubclause1"/>
        <w:rPr>
          <w:sz w:val="23"/>
          <w:szCs w:val="23"/>
        </w:rPr>
      </w:pPr>
      <w:bookmarkStart w:id="6" w:name="_Ref219811751"/>
      <w:r w:rsidRPr="0015627C">
        <w:rPr>
          <w:sz w:val="23"/>
          <w:szCs w:val="23"/>
        </w:rPr>
        <w:t>As qualified right</w:t>
      </w:r>
      <w:r w:rsidR="009F41E3">
        <w:rPr>
          <w:sz w:val="23"/>
          <w:szCs w:val="23"/>
        </w:rPr>
        <w:t>s</w:t>
      </w:r>
      <w:r w:rsidRPr="0015627C">
        <w:rPr>
          <w:sz w:val="23"/>
          <w:szCs w:val="23"/>
        </w:rPr>
        <w:t>, any interference with an individual’s Article 8 right</w:t>
      </w:r>
      <w:r w:rsidR="009F41E3">
        <w:rPr>
          <w:sz w:val="23"/>
          <w:szCs w:val="23"/>
        </w:rPr>
        <w:t>s</w:t>
      </w:r>
      <w:r w:rsidRPr="0015627C">
        <w:rPr>
          <w:sz w:val="23"/>
          <w:szCs w:val="23"/>
        </w:rPr>
        <w:t xml:space="preserve"> is only permissible if:</w:t>
      </w:r>
      <w:bookmarkEnd w:id="6"/>
    </w:p>
    <w:p w14:paraId="54850168" w14:textId="29A29FD7" w:rsidR="0015627C" w:rsidRDefault="0015627C" w:rsidP="0015627C">
      <w:pPr>
        <w:pStyle w:val="Untitledsubclause2"/>
        <w:rPr>
          <w:sz w:val="23"/>
          <w:szCs w:val="23"/>
        </w:rPr>
      </w:pPr>
      <w:r w:rsidRPr="0015627C">
        <w:rPr>
          <w:sz w:val="23"/>
          <w:szCs w:val="23"/>
        </w:rPr>
        <w:t>there is a legal basis for the interference with the qualified right</w:t>
      </w:r>
      <w:r w:rsidR="009F41E3">
        <w:rPr>
          <w:sz w:val="23"/>
          <w:szCs w:val="23"/>
        </w:rPr>
        <w:t>s</w:t>
      </w:r>
      <w:r w:rsidRPr="0015627C">
        <w:rPr>
          <w:sz w:val="23"/>
          <w:szCs w:val="23"/>
        </w:rPr>
        <w:t xml:space="preserve"> that the public can </w:t>
      </w:r>
      <w:proofErr w:type="gramStart"/>
      <w:r w:rsidRPr="0015627C">
        <w:rPr>
          <w:sz w:val="23"/>
          <w:szCs w:val="23"/>
        </w:rPr>
        <w:t>understand;</w:t>
      </w:r>
      <w:proofErr w:type="gramEnd"/>
    </w:p>
    <w:p w14:paraId="1805B109" w14:textId="77777777" w:rsidR="0015627C" w:rsidRDefault="0015627C" w:rsidP="0015627C">
      <w:pPr>
        <w:pStyle w:val="Untitledsubclause2"/>
        <w:rPr>
          <w:sz w:val="23"/>
          <w:szCs w:val="23"/>
        </w:rPr>
      </w:pPr>
      <w:r w:rsidRPr="0015627C">
        <w:rPr>
          <w:sz w:val="23"/>
          <w:szCs w:val="23"/>
        </w:rPr>
        <w:t xml:space="preserve">the use of LFR seeks to achieve the legitimate </w:t>
      </w:r>
      <w:proofErr w:type="gramStart"/>
      <w:r w:rsidRPr="0015627C">
        <w:rPr>
          <w:sz w:val="23"/>
          <w:szCs w:val="23"/>
        </w:rPr>
        <w:t>aim;</w:t>
      </w:r>
      <w:proofErr w:type="gramEnd"/>
    </w:p>
    <w:p w14:paraId="2934D706" w14:textId="77777777" w:rsidR="0015627C" w:rsidRDefault="0015627C" w:rsidP="0015627C">
      <w:pPr>
        <w:pStyle w:val="Untitledsubclause2"/>
        <w:rPr>
          <w:sz w:val="23"/>
          <w:szCs w:val="23"/>
        </w:rPr>
      </w:pPr>
      <w:r w:rsidRPr="0015627C">
        <w:rPr>
          <w:sz w:val="23"/>
          <w:szCs w:val="23"/>
        </w:rPr>
        <w:t>it is necessary for the purposes of that aim in a democratic society; and</w:t>
      </w:r>
    </w:p>
    <w:p w14:paraId="006D7AC5" w14:textId="2AD785CD" w:rsidR="0015627C" w:rsidRDefault="0015627C" w:rsidP="0015627C">
      <w:pPr>
        <w:pStyle w:val="Untitledsubclause2"/>
        <w:rPr>
          <w:sz w:val="23"/>
          <w:szCs w:val="23"/>
        </w:rPr>
      </w:pPr>
      <w:r w:rsidRPr="0015627C">
        <w:rPr>
          <w:sz w:val="23"/>
          <w:szCs w:val="23"/>
        </w:rPr>
        <w:t>the use of LFR is proportionate to the legitimate aim being sought.</w:t>
      </w:r>
    </w:p>
    <w:p w14:paraId="3FC1409E" w14:textId="25E5DAC9" w:rsidR="0015627C" w:rsidRDefault="0015627C" w:rsidP="0015627C">
      <w:pPr>
        <w:pStyle w:val="Untitledsubclause1"/>
        <w:rPr>
          <w:sz w:val="23"/>
          <w:szCs w:val="23"/>
        </w:rPr>
      </w:pPr>
      <w:r w:rsidRPr="0015627C">
        <w:rPr>
          <w:sz w:val="23"/>
          <w:szCs w:val="23"/>
        </w:rPr>
        <w:t>It is well-established that the reach of Article 8 can be broad</w:t>
      </w:r>
      <w:r w:rsidR="00FA217E">
        <w:rPr>
          <w:sz w:val="23"/>
          <w:szCs w:val="23"/>
        </w:rPr>
        <w:t xml:space="preserve"> and</w:t>
      </w:r>
      <w:r w:rsidRPr="0015627C">
        <w:rPr>
          <w:sz w:val="23"/>
          <w:szCs w:val="23"/>
        </w:rPr>
        <w:t xml:space="preserve"> can relate to a person’s right to their biometric data and any storing of data relating to it.</w:t>
      </w:r>
      <w:r w:rsidR="00FA217E">
        <w:rPr>
          <w:rStyle w:val="FootnoteReference"/>
          <w:sz w:val="23"/>
          <w:szCs w:val="23"/>
        </w:rPr>
        <w:footnoteReference w:id="13"/>
      </w:r>
      <w:r w:rsidRPr="0015627C">
        <w:rPr>
          <w:sz w:val="23"/>
          <w:szCs w:val="23"/>
        </w:rPr>
        <w:t xml:space="preserve"> </w:t>
      </w:r>
      <w:r w:rsidR="00FA217E">
        <w:rPr>
          <w:sz w:val="23"/>
          <w:szCs w:val="23"/>
        </w:rPr>
        <w:t>Judgement did however go on to recognise that a legitimate interest in the prevention of crime may out-weigh the interests of data subject and the community as a whole, but that such state measures authorising retention of use of such data without consent from the person to whom it belonged required careful scrutiny from the Court.</w:t>
      </w:r>
      <w:r w:rsidR="00FA217E">
        <w:rPr>
          <w:rStyle w:val="FootnoteReference"/>
          <w:sz w:val="23"/>
          <w:szCs w:val="23"/>
        </w:rPr>
        <w:footnoteReference w:id="14"/>
      </w:r>
    </w:p>
    <w:p w14:paraId="7EA82DA2" w14:textId="7EA89162" w:rsidR="00AA2EC1" w:rsidRDefault="00AA2EC1" w:rsidP="0015627C">
      <w:pPr>
        <w:pStyle w:val="Untitledsubclause1"/>
        <w:rPr>
          <w:sz w:val="23"/>
          <w:szCs w:val="23"/>
        </w:rPr>
      </w:pPr>
      <w:r>
        <w:rPr>
          <w:sz w:val="23"/>
          <w:szCs w:val="23"/>
        </w:rPr>
        <w:t xml:space="preserve">When contrasting this with the judgement in the case of </w:t>
      </w:r>
      <w:r w:rsidRPr="00AA2EC1">
        <w:rPr>
          <w:i/>
          <w:iCs/>
          <w:sz w:val="23"/>
          <w:szCs w:val="23"/>
        </w:rPr>
        <w:t>Z (</w:t>
      </w:r>
      <w:r w:rsidR="00F53540" w:rsidRPr="00AA2EC1">
        <w:rPr>
          <w:i/>
          <w:iCs/>
          <w:sz w:val="23"/>
          <w:szCs w:val="23"/>
        </w:rPr>
        <w:t>Children</w:t>
      </w:r>
      <w:r w:rsidRPr="00AA2EC1">
        <w:rPr>
          <w:i/>
          <w:iCs/>
          <w:sz w:val="23"/>
          <w:szCs w:val="23"/>
        </w:rPr>
        <w:t>) (application for Release of DNA Profiles) Re X v Z (Children) [2015]</w:t>
      </w:r>
      <w:r>
        <w:rPr>
          <w:rStyle w:val="FootnoteReference"/>
          <w:i/>
          <w:iCs/>
          <w:sz w:val="23"/>
          <w:szCs w:val="23"/>
        </w:rPr>
        <w:footnoteReference w:id="15"/>
      </w:r>
      <w:r>
        <w:rPr>
          <w:sz w:val="23"/>
          <w:szCs w:val="23"/>
        </w:rPr>
        <w:t xml:space="preserve"> where the Cour of Appeal found retaining and using individual’s DNA data interfered with his right to private life under Article 8 shows the strict permissibility criteria. Further, the Court found that </w:t>
      </w:r>
      <w:r w:rsidR="00D95A4B">
        <w:rPr>
          <w:sz w:val="23"/>
          <w:szCs w:val="23"/>
        </w:rPr>
        <w:t xml:space="preserve">section </w:t>
      </w:r>
      <w:r>
        <w:rPr>
          <w:sz w:val="23"/>
          <w:szCs w:val="23"/>
        </w:rPr>
        <w:t xml:space="preserve">22 PACE did not permit the retention or use of biometric material seized from premises under </w:t>
      </w:r>
      <w:r w:rsidR="00D95A4B">
        <w:rPr>
          <w:sz w:val="23"/>
          <w:szCs w:val="23"/>
        </w:rPr>
        <w:t xml:space="preserve">section </w:t>
      </w:r>
      <w:r>
        <w:rPr>
          <w:sz w:val="23"/>
          <w:szCs w:val="23"/>
        </w:rPr>
        <w:t>19 PACE for any purpose other than criminal law enforcement. Emphasis is on use of such data being in accordance with the law for the purposes of Article 8(2).</w:t>
      </w:r>
    </w:p>
    <w:p w14:paraId="3F8C27EE" w14:textId="64B07E02" w:rsidR="00AA2EC1" w:rsidRPr="00AA2EC1" w:rsidRDefault="00AA2EC1" w:rsidP="00AA2EC1">
      <w:pPr>
        <w:pStyle w:val="Untitledsubclause1"/>
        <w:rPr>
          <w:sz w:val="23"/>
          <w:szCs w:val="23"/>
        </w:rPr>
      </w:pPr>
      <w:r>
        <w:rPr>
          <w:sz w:val="23"/>
          <w:szCs w:val="23"/>
        </w:rPr>
        <w:t>In the Bridges Appeal, attention was drawn to Article 8 i</w:t>
      </w:r>
      <w:r w:rsidRPr="00CF13D7">
        <w:rPr>
          <w:sz w:val="23"/>
          <w:szCs w:val="23"/>
        </w:rPr>
        <w:t>n the question of proportionality</w:t>
      </w:r>
      <w:r w:rsidR="00FA636A">
        <w:rPr>
          <w:sz w:val="23"/>
          <w:szCs w:val="23"/>
        </w:rPr>
        <w:t>;</w:t>
      </w:r>
      <w:r w:rsidRPr="00CF13D7">
        <w:rPr>
          <w:sz w:val="23"/>
          <w:szCs w:val="23"/>
        </w:rPr>
        <w:t xml:space="preserve"> had the interference with </w:t>
      </w:r>
      <w:r w:rsidR="00FA636A">
        <w:rPr>
          <w:sz w:val="23"/>
          <w:szCs w:val="23"/>
        </w:rPr>
        <w:t>Article 8</w:t>
      </w:r>
      <w:r w:rsidRPr="00CF13D7">
        <w:rPr>
          <w:sz w:val="23"/>
          <w:szCs w:val="23"/>
        </w:rPr>
        <w:t xml:space="preserve"> rights caused by the use of AFR been "</w:t>
      </w:r>
      <w:r w:rsidRPr="00FA636A">
        <w:rPr>
          <w:i/>
          <w:iCs/>
          <w:sz w:val="23"/>
          <w:szCs w:val="23"/>
        </w:rPr>
        <w:t>in accordance with the law</w:t>
      </w:r>
      <w:r w:rsidRPr="00CF13D7">
        <w:rPr>
          <w:sz w:val="23"/>
          <w:szCs w:val="23"/>
        </w:rPr>
        <w:t xml:space="preserve">" for the purposes of </w:t>
      </w:r>
      <w:r w:rsidR="00FA636A">
        <w:rPr>
          <w:sz w:val="23"/>
          <w:szCs w:val="23"/>
        </w:rPr>
        <w:t>Article 8</w:t>
      </w:r>
      <w:r w:rsidRPr="00CF13D7">
        <w:rPr>
          <w:sz w:val="23"/>
          <w:szCs w:val="23"/>
        </w:rPr>
        <w:t>(2), it would have been a proportionate interference</w:t>
      </w:r>
      <w:r>
        <w:rPr>
          <w:sz w:val="23"/>
          <w:szCs w:val="23"/>
        </w:rPr>
        <w:t xml:space="preserve"> and t</w:t>
      </w:r>
      <w:r w:rsidRPr="00CF13D7">
        <w:rPr>
          <w:sz w:val="23"/>
          <w:szCs w:val="23"/>
        </w:rPr>
        <w:t xml:space="preserve">he </w:t>
      </w:r>
      <w:r>
        <w:rPr>
          <w:sz w:val="23"/>
          <w:szCs w:val="23"/>
        </w:rPr>
        <w:t>High Court</w:t>
      </w:r>
      <w:r w:rsidRPr="00CF13D7">
        <w:rPr>
          <w:sz w:val="23"/>
          <w:szCs w:val="23"/>
        </w:rPr>
        <w:t xml:space="preserve"> had properly performed the correct balancing exercise</w:t>
      </w:r>
      <w:r>
        <w:rPr>
          <w:sz w:val="23"/>
          <w:szCs w:val="23"/>
        </w:rPr>
        <w:t>.</w:t>
      </w:r>
      <w:r>
        <w:rPr>
          <w:rStyle w:val="FootnoteReference"/>
          <w:sz w:val="23"/>
          <w:szCs w:val="23"/>
        </w:rPr>
        <w:footnoteReference w:id="16"/>
      </w:r>
    </w:p>
    <w:p w14:paraId="7D034520" w14:textId="2807A4D6" w:rsidR="00AA2EC1" w:rsidRPr="00CF13D7" w:rsidRDefault="00FA636A" w:rsidP="00AA2EC1">
      <w:pPr>
        <w:pStyle w:val="Untitledsubclause1"/>
        <w:rPr>
          <w:sz w:val="23"/>
          <w:szCs w:val="23"/>
        </w:rPr>
      </w:pPr>
      <w:r>
        <w:rPr>
          <w:sz w:val="23"/>
          <w:szCs w:val="23"/>
        </w:rPr>
        <w:t>T</w:t>
      </w:r>
      <w:r w:rsidR="00AA2EC1" w:rsidRPr="00CF13D7">
        <w:rPr>
          <w:sz w:val="23"/>
          <w:szCs w:val="23"/>
        </w:rPr>
        <w:t xml:space="preserve">he fact that new technology was being </w:t>
      </w:r>
      <w:r w:rsidR="007B3873" w:rsidRPr="00CF13D7">
        <w:rPr>
          <w:sz w:val="23"/>
          <w:szCs w:val="23"/>
        </w:rPr>
        <w:t>trialled</w:t>
      </w:r>
      <w:r w:rsidR="00AA2EC1" w:rsidRPr="00CF13D7">
        <w:rPr>
          <w:sz w:val="23"/>
          <w:szCs w:val="23"/>
        </w:rPr>
        <w:t xml:space="preserve"> did not alter the need for any interference with </w:t>
      </w:r>
      <w:r w:rsidR="00AA2EC1">
        <w:rPr>
          <w:sz w:val="23"/>
          <w:szCs w:val="23"/>
        </w:rPr>
        <w:t>Article 8</w:t>
      </w:r>
      <w:r w:rsidR="00AA2EC1" w:rsidRPr="00CF13D7">
        <w:rPr>
          <w:sz w:val="23"/>
          <w:szCs w:val="23"/>
        </w:rPr>
        <w:t xml:space="preserve"> rights to be "</w:t>
      </w:r>
      <w:r w:rsidR="00AA2EC1" w:rsidRPr="00AA2EC1">
        <w:rPr>
          <w:i/>
          <w:iCs/>
          <w:sz w:val="23"/>
          <w:szCs w:val="23"/>
        </w:rPr>
        <w:t>in accordance with the law</w:t>
      </w:r>
      <w:r w:rsidR="00AA2EC1" w:rsidRPr="00CF13D7">
        <w:rPr>
          <w:sz w:val="23"/>
          <w:szCs w:val="23"/>
        </w:rPr>
        <w:t xml:space="preserve">". That was a binary question; interference was either in accordance with the </w:t>
      </w:r>
      <w:proofErr w:type="gramStart"/>
      <w:r w:rsidR="00AA2EC1" w:rsidRPr="00CF13D7">
        <w:rPr>
          <w:sz w:val="23"/>
          <w:szCs w:val="23"/>
        </w:rPr>
        <w:t>law</w:t>
      </w:r>
      <w:proofErr w:type="gramEnd"/>
      <w:r w:rsidR="00AA2EC1" w:rsidRPr="00CF13D7">
        <w:rPr>
          <w:sz w:val="23"/>
          <w:szCs w:val="23"/>
        </w:rPr>
        <w:t xml:space="preserve"> or it was not. The </w:t>
      </w:r>
      <w:r w:rsidR="00AA2EC1">
        <w:rPr>
          <w:sz w:val="23"/>
          <w:szCs w:val="23"/>
        </w:rPr>
        <w:t>Bridge</w:t>
      </w:r>
      <w:r w:rsidR="00455071">
        <w:rPr>
          <w:sz w:val="23"/>
          <w:szCs w:val="23"/>
        </w:rPr>
        <w:t>s</w:t>
      </w:r>
      <w:r w:rsidR="00AA2EC1">
        <w:rPr>
          <w:sz w:val="23"/>
          <w:szCs w:val="23"/>
        </w:rPr>
        <w:t xml:space="preserve"> A</w:t>
      </w:r>
      <w:r w:rsidR="00AA2EC1" w:rsidRPr="00CF13D7">
        <w:rPr>
          <w:sz w:val="23"/>
          <w:szCs w:val="23"/>
        </w:rPr>
        <w:t xml:space="preserve">ppeal concerned the deployment of AFR within the force's area and whether the </w:t>
      </w:r>
      <w:proofErr w:type="gramStart"/>
      <w:r w:rsidR="00AA2EC1" w:rsidRPr="00CF13D7">
        <w:rPr>
          <w:sz w:val="23"/>
          <w:szCs w:val="23"/>
        </w:rPr>
        <w:lastRenderedPageBreak/>
        <w:t>particular interference</w:t>
      </w:r>
      <w:proofErr w:type="gramEnd"/>
      <w:r w:rsidR="00AA2EC1" w:rsidRPr="00CF13D7">
        <w:rPr>
          <w:sz w:val="23"/>
          <w:szCs w:val="23"/>
        </w:rPr>
        <w:t xml:space="preserve"> which had arisen was lawful. It was not concerned with future use of AFR nationally. The legal framework regulating the deployment of AFR contained safeguards enabling the proportionality of the interference with</w:t>
      </w:r>
      <w:r w:rsidR="00AA2EC1">
        <w:rPr>
          <w:sz w:val="23"/>
          <w:szCs w:val="23"/>
        </w:rPr>
        <w:t xml:space="preserve"> Article 8</w:t>
      </w:r>
      <w:r w:rsidR="00AA2EC1" w:rsidRPr="00CF13D7">
        <w:rPr>
          <w:sz w:val="23"/>
          <w:szCs w:val="23"/>
        </w:rPr>
        <w:t xml:space="preserve"> rights to be adequately examined. Much of the </w:t>
      </w:r>
      <w:r w:rsidR="00CF3A63">
        <w:rPr>
          <w:sz w:val="23"/>
          <w:szCs w:val="23"/>
        </w:rPr>
        <w:t>C</w:t>
      </w:r>
      <w:r w:rsidR="00AA2EC1" w:rsidRPr="00CF13D7">
        <w:rPr>
          <w:sz w:val="23"/>
          <w:szCs w:val="23"/>
        </w:rPr>
        <w:t>ourt's analysis regarding the sufficiency of the framework was correct, but it had erred in finding that the interference with the appellant's</w:t>
      </w:r>
      <w:r w:rsidR="00AA2EC1">
        <w:rPr>
          <w:sz w:val="23"/>
          <w:szCs w:val="23"/>
        </w:rPr>
        <w:t xml:space="preserve"> Article 8(1)</w:t>
      </w:r>
      <w:r w:rsidR="00AA2EC1" w:rsidRPr="00CF13D7">
        <w:rPr>
          <w:sz w:val="23"/>
          <w:szCs w:val="23"/>
        </w:rPr>
        <w:t xml:space="preserve"> rights was "</w:t>
      </w:r>
      <w:r w:rsidR="00AA2EC1" w:rsidRPr="00AA2EC1">
        <w:rPr>
          <w:i/>
          <w:iCs/>
          <w:sz w:val="23"/>
          <w:szCs w:val="23"/>
        </w:rPr>
        <w:t>in accordance with the law</w:t>
      </w:r>
      <w:r w:rsidR="00AA2EC1" w:rsidRPr="00CF13D7">
        <w:rPr>
          <w:sz w:val="23"/>
          <w:szCs w:val="23"/>
        </w:rPr>
        <w:t xml:space="preserve">". There was no clear guidance on where AFR could be used and who could be put on a watchlist. That was too broad a discretion to afford to police officers to meet the standard required by </w:t>
      </w:r>
      <w:r w:rsidR="00AA2EC1">
        <w:rPr>
          <w:sz w:val="23"/>
          <w:szCs w:val="23"/>
        </w:rPr>
        <w:t xml:space="preserve">Article </w:t>
      </w:r>
      <w:r w:rsidR="00AA2EC1" w:rsidRPr="00CF13D7">
        <w:rPr>
          <w:sz w:val="23"/>
          <w:szCs w:val="23"/>
        </w:rPr>
        <w:t xml:space="preserve">8(2). The </w:t>
      </w:r>
      <w:r w:rsidR="00AA2EC1">
        <w:rPr>
          <w:sz w:val="23"/>
          <w:szCs w:val="23"/>
        </w:rPr>
        <w:t xml:space="preserve">Data Protection Act </w:t>
      </w:r>
      <w:r w:rsidR="00AA2EC1" w:rsidRPr="00CF13D7">
        <w:rPr>
          <w:sz w:val="23"/>
          <w:szCs w:val="23"/>
        </w:rPr>
        <w:t xml:space="preserve">2018 formed an important part of the </w:t>
      </w:r>
      <w:proofErr w:type="gramStart"/>
      <w:r w:rsidR="00AA2EC1" w:rsidRPr="00CF13D7">
        <w:rPr>
          <w:sz w:val="23"/>
          <w:szCs w:val="23"/>
        </w:rPr>
        <w:t>framework, but</w:t>
      </w:r>
      <w:proofErr w:type="gramEnd"/>
      <w:r w:rsidR="00AA2EC1" w:rsidRPr="00CF13D7">
        <w:rPr>
          <w:sz w:val="23"/>
          <w:szCs w:val="23"/>
        </w:rPr>
        <w:t xml:space="preserve"> was not sufficient by itself. The </w:t>
      </w:r>
      <w:r w:rsidR="00CF3A63">
        <w:rPr>
          <w:sz w:val="23"/>
          <w:szCs w:val="23"/>
        </w:rPr>
        <w:t>C</w:t>
      </w:r>
      <w:r w:rsidR="00AA2EC1" w:rsidRPr="00CF13D7">
        <w:rPr>
          <w:sz w:val="23"/>
          <w:szCs w:val="23"/>
        </w:rPr>
        <w:t>ourt made observations about the content of the Surveillance Camera Code of Practice and the force's policies</w:t>
      </w:r>
      <w:r w:rsidR="00AA2EC1">
        <w:rPr>
          <w:sz w:val="23"/>
          <w:szCs w:val="23"/>
        </w:rPr>
        <w:t>.</w:t>
      </w:r>
      <w:r w:rsidR="00AA2EC1">
        <w:rPr>
          <w:rStyle w:val="FootnoteReference"/>
          <w:sz w:val="23"/>
          <w:szCs w:val="23"/>
        </w:rPr>
        <w:footnoteReference w:id="17"/>
      </w:r>
    </w:p>
    <w:p w14:paraId="527E0E84" w14:textId="6C1BDD57" w:rsidR="00FA636A" w:rsidRPr="00FA636A" w:rsidRDefault="00FA636A" w:rsidP="00FA636A">
      <w:pPr>
        <w:pStyle w:val="Untitledsubclause1"/>
        <w:rPr>
          <w:sz w:val="23"/>
          <w:szCs w:val="23"/>
        </w:rPr>
      </w:pPr>
      <w:r>
        <w:rPr>
          <w:sz w:val="23"/>
          <w:szCs w:val="23"/>
        </w:rPr>
        <w:t>Further, bot</w:t>
      </w:r>
      <w:r w:rsidRPr="00FA636A">
        <w:rPr>
          <w:sz w:val="23"/>
          <w:szCs w:val="23"/>
        </w:rPr>
        <w:t>h</w:t>
      </w:r>
      <w:r>
        <w:rPr>
          <w:sz w:val="23"/>
          <w:szCs w:val="23"/>
        </w:rPr>
        <w:t xml:space="preserve"> the</w:t>
      </w:r>
      <w:r w:rsidRPr="00FA636A">
        <w:rPr>
          <w:sz w:val="23"/>
          <w:szCs w:val="23"/>
        </w:rPr>
        <w:t xml:space="preserve"> High Court and Court of Appeal confirmed that Article 8 is engaged in so far as someone passes through the Zone of Recognition and in so far as someone is placed on a LFR Watchlist for a Deployment. Depending on the nature of the deployment, the then Surveillance Camera Commissioner has identified that there are also potential impacts on other human rights. These include the right to freedom of assembly, freedom of thought, belief and religion, freedom of expression, freedom of association, and the protection of discrimination in respect of those rights and freedoms.</w:t>
      </w:r>
    </w:p>
    <w:p w14:paraId="1F0D2C92" w14:textId="586CB28A" w:rsidR="00FA636A" w:rsidRPr="00D00A9F" w:rsidRDefault="00FA636A" w:rsidP="00FA636A">
      <w:pPr>
        <w:pStyle w:val="Untitledsubclause1"/>
        <w:numPr>
          <w:ilvl w:val="0"/>
          <w:numId w:val="0"/>
        </w:numPr>
        <w:ind w:left="720"/>
        <w:rPr>
          <w:b/>
          <w:bCs/>
          <w:sz w:val="23"/>
          <w:szCs w:val="23"/>
          <w:u w:val="single"/>
        </w:rPr>
      </w:pPr>
      <w:r w:rsidRPr="00D00A9F">
        <w:rPr>
          <w:b/>
          <w:bCs/>
          <w:sz w:val="23"/>
          <w:szCs w:val="23"/>
          <w:u w:val="single"/>
        </w:rPr>
        <w:t>There is a legal basis for the interference with the qualified right that the public can understand</w:t>
      </w:r>
    </w:p>
    <w:p w14:paraId="124D9A64" w14:textId="1333AB43" w:rsidR="00B731EE" w:rsidRDefault="003B798D" w:rsidP="0015627C">
      <w:pPr>
        <w:pStyle w:val="Untitledsubclause1"/>
        <w:rPr>
          <w:sz w:val="23"/>
          <w:szCs w:val="23"/>
        </w:rPr>
      </w:pPr>
      <w:r w:rsidRPr="003B798D">
        <w:rPr>
          <w:sz w:val="23"/>
          <w:szCs w:val="23"/>
        </w:rPr>
        <w:t xml:space="preserve">In the case of </w:t>
      </w:r>
      <w:r w:rsidRPr="0037029F">
        <w:rPr>
          <w:i/>
          <w:iCs/>
          <w:sz w:val="23"/>
          <w:szCs w:val="23"/>
        </w:rPr>
        <w:t>R (</w:t>
      </w:r>
      <w:r w:rsidR="00B731EE" w:rsidRPr="0037029F">
        <w:rPr>
          <w:i/>
          <w:iCs/>
          <w:sz w:val="23"/>
          <w:szCs w:val="23"/>
        </w:rPr>
        <w:t xml:space="preserve">on the application of </w:t>
      </w:r>
      <w:r w:rsidRPr="0037029F">
        <w:rPr>
          <w:i/>
          <w:iCs/>
          <w:sz w:val="23"/>
          <w:szCs w:val="23"/>
        </w:rPr>
        <w:t xml:space="preserve">Catt) v </w:t>
      </w:r>
      <w:r w:rsidR="00B731EE" w:rsidRPr="0037029F">
        <w:rPr>
          <w:i/>
          <w:iCs/>
          <w:sz w:val="23"/>
          <w:szCs w:val="23"/>
        </w:rPr>
        <w:t xml:space="preserve">Association of </w:t>
      </w:r>
      <w:r w:rsidRPr="0037029F">
        <w:rPr>
          <w:i/>
          <w:iCs/>
          <w:sz w:val="23"/>
          <w:szCs w:val="23"/>
        </w:rPr>
        <w:t xml:space="preserve">Chief Police Officers </w:t>
      </w:r>
      <w:r w:rsidR="00B731EE" w:rsidRPr="0037029F">
        <w:rPr>
          <w:i/>
          <w:iCs/>
          <w:sz w:val="23"/>
          <w:szCs w:val="23"/>
        </w:rPr>
        <w:t>of England, Wales and Northern Ireland</w:t>
      </w:r>
      <w:r w:rsidR="00B731EE">
        <w:rPr>
          <w:rStyle w:val="FootnoteReference"/>
          <w:sz w:val="23"/>
          <w:szCs w:val="23"/>
        </w:rPr>
        <w:footnoteReference w:id="18"/>
      </w:r>
      <w:r w:rsidRPr="003B798D">
        <w:rPr>
          <w:sz w:val="23"/>
          <w:szCs w:val="23"/>
        </w:rPr>
        <w:t xml:space="preserve"> Lord Sumption recognised that applicants could have their personal information noted down and retained by the police as they occupied </w:t>
      </w:r>
      <w:r w:rsidR="00E26DAA" w:rsidRPr="003B798D">
        <w:rPr>
          <w:sz w:val="23"/>
          <w:szCs w:val="23"/>
        </w:rPr>
        <w:t>publicly</w:t>
      </w:r>
      <w:r w:rsidRPr="003B798D">
        <w:rPr>
          <w:sz w:val="23"/>
          <w:szCs w:val="23"/>
        </w:rPr>
        <w:t xml:space="preserve"> accessible space. The </w:t>
      </w:r>
      <w:r w:rsidR="00CF3A63">
        <w:rPr>
          <w:sz w:val="23"/>
          <w:szCs w:val="23"/>
        </w:rPr>
        <w:t>C</w:t>
      </w:r>
      <w:r w:rsidRPr="003B798D">
        <w:rPr>
          <w:sz w:val="23"/>
          <w:szCs w:val="23"/>
        </w:rPr>
        <w:t>ourt recognised the police’s common law powers to collect and store information are subject to an “</w:t>
      </w:r>
      <w:r w:rsidRPr="00D46DDB">
        <w:rPr>
          <w:i/>
          <w:iCs/>
          <w:sz w:val="23"/>
          <w:szCs w:val="23"/>
        </w:rPr>
        <w:t>intensive regime of statutory and administrative regulation</w:t>
      </w:r>
      <w:r w:rsidRPr="003B798D">
        <w:rPr>
          <w:sz w:val="23"/>
          <w:szCs w:val="23"/>
        </w:rPr>
        <w:t>” under the Data Protection Act and various guidance documents on the management of police information.</w:t>
      </w:r>
    </w:p>
    <w:p w14:paraId="208C253C" w14:textId="1AECE172" w:rsidR="00B731EE" w:rsidRDefault="00B731EE" w:rsidP="0015627C">
      <w:pPr>
        <w:pStyle w:val="Untitledsubclause1"/>
        <w:rPr>
          <w:sz w:val="23"/>
          <w:szCs w:val="23"/>
        </w:rPr>
      </w:pPr>
      <w:r>
        <w:rPr>
          <w:sz w:val="23"/>
          <w:szCs w:val="23"/>
        </w:rPr>
        <w:t>On appeal to the European Court of Human Rights</w:t>
      </w:r>
      <w:r>
        <w:rPr>
          <w:rStyle w:val="FootnoteReference"/>
          <w:sz w:val="23"/>
          <w:szCs w:val="23"/>
        </w:rPr>
        <w:footnoteReference w:id="19"/>
      </w:r>
      <w:r w:rsidRPr="00B731EE">
        <w:rPr>
          <w:sz w:val="23"/>
          <w:szCs w:val="23"/>
        </w:rPr>
        <w:t xml:space="preserve"> </w:t>
      </w:r>
      <w:r>
        <w:rPr>
          <w:sz w:val="23"/>
          <w:szCs w:val="23"/>
        </w:rPr>
        <w:t>whilst it was confirmed that t</w:t>
      </w:r>
      <w:r w:rsidRPr="00B731EE">
        <w:rPr>
          <w:sz w:val="23"/>
          <w:szCs w:val="23"/>
        </w:rPr>
        <w:t xml:space="preserve">he retention by the police of records of </w:t>
      </w:r>
      <w:r>
        <w:rPr>
          <w:sz w:val="23"/>
          <w:szCs w:val="23"/>
        </w:rPr>
        <w:t>the</w:t>
      </w:r>
      <w:r w:rsidRPr="00B731EE">
        <w:rPr>
          <w:sz w:val="23"/>
          <w:szCs w:val="23"/>
        </w:rPr>
        <w:t xml:space="preserve"> elderly complainant's participation in peaceful demonstrations organised by a violent protest group infringed his right to respect for private life under</w:t>
      </w:r>
      <w:r>
        <w:rPr>
          <w:sz w:val="23"/>
          <w:szCs w:val="23"/>
        </w:rPr>
        <w:t xml:space="preserve"> Article 8,</w:t>
      </w:r>
      <w:r w:rsidRPr="00B731EE">
        <w:rPr>
          <w:sz w:val="23"/>
          <w:szCs w:val="23"/>
        </w:rPr>
        <w:t xml:space="preserve"> </w:t>
      </w:r>
      <w:r>
        <w:rPr>
          <w:sz w:val="23"/>
          <w:szCs w:val="23"/>
        </w:rPr>
        <w:t>t</w:t>
      </w:r>
      <w:r w:rsidRPr="00B731EE">
        <w:rPr>
          <w:sz w:val="23"/>
          <w:szCs w:val="23"/>
        </w:rPr>
        <w:t xml:space="preserve">here was an obvious reason to collect the complainant's personal data because he had publicly aligned himself with a violent protest group. However, there were no effective safeguards. There was no reason to retain his data </w:t>
      </w:r>
      <w:r w:rsidRPr="00B731EE">
        <w:rPr>
          <w:sz w:val="23"/>
          <w:szCs w:val="23"/>
        </w:rPr>
        <w:lastRenderedPageBreak/>
        <w:t>for an indefinite period, and some of the data ought to have attracted a heightened level of protection because it concerned the complainant's political opinions.</w:t>
      </w:r>
    </w:p>
    <w:p w14:paraId="000A1DB8" w14:textId="29D6CA17" w:rsidR="00FA636A" w:rsidRDefault="003B798D" w:rsidP="0015627C">
      <w:pPr>
        <w:pStyle w:val="Untitledsubclause1"/>
        <w:rPr>
          <w:sz w:val="23"/>
          <w:szCs w:val="23"/>
        </w:rPr>
      </w:pPr>
      <w:r w:rsidRPr="003B798D">
        <w:rPr>
          <w:sz w:val="23"/>
          <w:szCs w:val="23"/>
        </w:rPr>
        <w:t xml:space="preserve">The </w:t>
      </w:r>
      <w:r w:rsidR="00CF3A63">
        <w:rPr>
          <w:sz w:val="23"/>
          <w:szCs w:val="23"/>
        </w:rPr>
        <w:t>C</w:t>
      </w:r>
      <w:r w:rsidRPr="003B798D">
        <w:rPr>
          <w:sz w:val="23"/>
          <w:szCs w:val="23"/>
        </w:rPr>
        <w:t xml:space="preserve">ourts have further recognised the right of the police to make use of a photograph of an individual. The </w:t>
      </w:r>
      <w:r w:rsidR="00CF3A63">
        <w:rPr>
          <w:sz w:val="23"/>
          <w:szCs w:val="23"/>
        </w:rPr>
        <w:t>C</w:t>
      </w:r>
      <w:r w:rsidRPr="003B798D">
        <w:rPr>
          <w:sz w:val="23"/>
          <w:szCs w:val="23"/>
        </w:rPr>
        <w:t xml:space="preserve">ourts accepted the purposes of preventing and detecting crime, the investigation of alleged offences and the apprehension of suspects or persons unlawfully at large. This was the case </w:t>
      </w:r>
      <w:proofErr w:type="gramStart"/>
      <w:r w:rsidRPr="003B798D">
        <w:rPr>
          <w:sz w:val="23"/>
          <w:szCs w:val="23"/>
        </w:rPr>
        <w:t>whether or not</w:t>
      </w:r>
      <w:proofErr w:type="gramEnd"/>
      <w:r w:rsidRPr="003B798D">
        <w:rPr>
          <w:sz w:val="23"/>
          <w:szCs w:val="23"/>
        </w:rPr>
        <w:t xml:space="preserve"> the photograph is of any person they seek to arrest or of a suspect’s accomplice or of anyone else. The </w:t>
      </w:r>
      <w:r w:rsidR="00CF3A63">
        <w:rPr>
          <w:sz w:val="23"/>
          <w:szCs w:val="23"/>
        </w:rPr>
        <w:t>C</w:t>
      </w:r>
      <w:r w:rsidRPr="003B798D">
        <w:rPr>
          <w:sz w:val="23"/>
          <w:szCs w:val="23"/>
        </w:rPr>
        <w:t>ourt confirmed the “</w:t>
      </w:r>
      <w:r w:rsidRPr="00D46DDB">
        <w:rPr>
          <w:i/>
          <w:iCs/>
          <w:sz w:val="23"/>
          <w:szCs w:val="23"/>
        </w:rPr>
        <w:t>key is that they must have these and only these purposes in mind and must … make no more than reasonable use of the picture in seeking to accomplish them</w:t>
      </w:r>
      <w:r w:rsidRPr="003B798D">
        <w:rPr>
          <w:sz w:val="23"/>
          <w:szCs w:val="23"/>
        </w:rPr>
        <w:t>”</w:t>
      </w:r>
      <w:r w:rsidR="00B731EE">
        <w:rPr>
          <w:sz w:val="23"/>
          <w:szCs w:val="23"/>
        </w:rPr>
        <w:t>.</w:t>
      </w:r>
      <w:r w:rsidR="00B731EE">
        <w:rPr>
          <w:rStyle w:val="FootnoteReference"/>
          <w:sz w:val="23"/>
          <w:szCs w:val="23"/>
        </w:rPr>
        <w:footnoteReference w:id="20"/>
      </w:r>
    </w:p>
    <w:p w14:paraId="2D1456A0" w14:textId="463F1D24" w:rsidR="008F1DE9" w:rsidRDefault="008F1DE9" w:rsidP="0015627C">
      <w:pPr>
        <w:pStyle w:val="Untitledsubclause1"/>
        <w:rPr>
          <w:sz w:val="23"/>
          <w:szCs w:val="23"/>
        </w:rPr>
      </w:pPr>
      <w:r>
        <w:rPr>
          <w:sz w:val="23"/>
          <w:szCs w:val="23"/>
        </w:rPr>
        <w:t xml:space="preserve">Such LFR policy must </w:t>
      </w:r>
      <w:r w:rsidR="00B731EE" w:rsidRPr="00B731EE">
        <w:rPr>
          <w:sz w:val="23"/>
          <w:szCs w:val="23"/>
        </w:rPr>
        <w:t xml:space="preserve">outline the legal basis for any interference with an individual’s Article 8 rights. </w:t>
      </w:r>
      <w:r>
        <w:rPr>
          <w:sz w:val="23"/>
          <w:szCs w:val="23"/>
        </w:rPr>
        <w:t xml:space="preserve">The High Court Bridges </w:t>
      </w:r>
      <w:r w:rsidR="0082270B">
        <w:rPr>
          <w:sz w:val="23"/>
          <w:szCs w:val="23"/>
        </w:rPr>
        <w:t>c</w:t>
      </w:r>
      <w:r>
        <w:rPr>
          <w:sz w:val="23"/>
          <w:szCs w:val="23"/>
        </w:rPr>
        <w:t>ase</w:t>
      </w:r>
      <w:r w:rsidR="00B731EE" w:rsidRPr="00B731EE">
        <w:rPr>
          <w:sz w:val="23"/>
          <w:szCs w:val="23"/>
        </w:rPr>
        <w:t xml:space="preserve"> confirmed the police’s common law policing powers to be “amply sufficient” in relation to this type of use of LFR and confirmed that “the police do not need new express statutory powers for this purpose”. This was further considered in the </w:t>
      </w:r>
      <w:r>
        <w:rPr>
          <w:sz w:val="23"/>
          <w:szCs w:val="23"/>
        </w:rPr>
        <w:t>Bridges Appeal</w:t>
      </w:r>
      <w:r w:rsidR="00B731EE" w:rsidRPr="00B731EE">
        <w:rPr>
          <w:sz w:val="23"/>
          <w:szCs w:val="23"/>
        </w:rPr>
        <w:t xml:space="preserve"> which also recognised the sufficiency of the legal framework, </w:t>
      </w:r>
      <w:r>
        <w:rPr>
          <w:sz w:val="23"/>
          <w:szCs w:val="23"/>
        </w:rPr>
        <w:t>noting:</w:t>
      </w:r>
    </w:p>
    <w:p w14:paraId="2C50A932" w14:textId="534732A9" w:rsidR="00B731EE" w:rsidRDefault="00B731EE" w:rsidP="008F1DE9">
      <w:pPr>
        <w:pStyle w:val="Untitledsubclause1"/>
        <w:numPr>
          <w:ilvl w:val="0"/>
          <w:numId w:val="0"/>
        </w:numPr>
        <w:ind w:left="720"/>
        <w:rPr>
          <w:sz w:val="23"/>
          <w:szCs w:val="23"/>
        </w:rPr>
      </w:pPr>
      <w:r w:rsidRPr="00B731EE">
        <w:rPr>
          <w:sz w:val="23"/>
          <w:szCs w:val="23"/>
        </w:rPr>
        <w:t>“</w:t>
      </w:r>
      <w:r w:rsidR="00C35D6B" w:rsidRPr="008F1DE9">
        <w:rPr>
          <w:i/>
          <w:iCs/>
          <w:sz w:val="23"/>
          <w:szCs w:val="23"/>
        </w:rPr>
        <w:t>The</w:t>
      </w:r>
      <w:r w:rsidRPr="008F1DE9">
        <w:rPr>
          <w:i/>
          <w:iCs/>
          <w:sz w:val="23"/>
          <w:szCs w:val="23"/>
        </w:rPr>
        <w:t xml:space="preserve"> legal framework which regulates the deployment of [S</w:t>
      </w:r>
      <w:r w:rsidR="008F1DE9">
        <w:rPr>
          <w:i/>
          <w:iCs/>
          <w:sz w:val="23"/>
          <w:szCs w:val="23"/>
        </w:rPr>
        <w:t xml:space="preserve">outh </w:t>
      </w:r>
      <w:r w:rsidRPr="008F1DE9">
        <w:rPr>
          <w:i/>
          <w:iCs/>
          <w:sz w:val="23"/>
          <w:szCs w:val="23"/>
        </w:rPr>
        <w:t>W</w:t>
      </w:r>
      <w:r w:rsidR="008F1DE9">
        <w:rPr>
          <w:i/>
          <w:iCs/>
          <w:sz w:val="23"/>
          <w:szCs w:val="23"/>
        </w:rPr>
        <w:t xml:space="preserve">ales </w:t>
      </w:r>
      <w:r w:rsidRPr="008F1DE9">
        <w:rPr>
          <w:i/>
          <w:iCs/>
          <w:sz w:val="23"/>
          <w:szCs w:val="23"/>
        </w:rPr>
        <w:t>P</w:t>
      </w:r>
      <w:r w:rsidR="008F1DE9">
        <w:rPr>
          <w:i/>
          <w:iCs/>
          <w:sz w:val="23"/>
          <w:szCs w:val="23"/>
        </w:rPr>
        <w:t>olice</w:t>
      </w:r>
      <w:r w:rsidRPr="008F1DE9">
        <w:rPr>
          <w:i/>
          <w:iCs/>
          <w:sz w:val="23"/>
          <w:szCs w:val="23"/>
        </w:rPr>
        <w:t>’s use of LFR] does contain safeguards which enable the proportionality of the interference with Article 8 rights to be adequately examined</w:t>
      </w:r>
      <w:r w:rsidRPr="00B731EE">
        <w:rPr>
          <w:sz w:val="23"/>
          <w:szCs w:val="23"/>
        </w:rPr>
        <w:t>.”</w:t>
      </w:r>
      <w:r w:rsidR="008F1DE9">
        <w:rPr>
          <w:rStyle w:val="FootnoteReference"/>
          <w:sz w:val="23"/>
          <w:szCs w:val="23"/>
        </w:rPr>
        <w:footnoteReference w:id="21"/>
      </w:r>
    </w:p>
    <w:p w14:paraId="2DA6F317" w14:textId="64BF11F4" w:rsidR="008F1DE9" w:rsidRDefault="008F1DE9" w:rsidP="008F1DE9">
      <w:pPr>
        <w:pStyle w:val="Untitledsubclause1"/>
        <w:rPr>
          <w:sz w:val="23"/>
          <w:szCs w:val="23"/>
        </w:rPr>
      </w:pPr>
      <w:r w:rsidRPr="008F1DE9">
        <w:rPr>
          <w:sz w:val="23"/>
          <w:szCs w:val="23"/>
        </w:rPr>
        <w:t xml:space="preserve">The </w:t>
      </w:r>
      <w:r>
        <w:rPr>
          <w:sz w:val="23"/>
          <w:szCs w:val="23"/>
        </w:rPr>
        <w:t xml:space="preserve">Bridges Appeal judgement </w:t>
      </w:r>
      <w:r w:rsidRPr="008F1DE9">
        <w:rPr>
          <w:sz w:val="23"/>
          <w:szCs w:val="23"/>
        </w:rPr>
        <w:t xml:space="preserve">further noted that, to be </w:t>
      </w:r>
      <w:r>
        <w:rPr>
          <w:sz w:val="23"/>
          <w:szCs w:val="23"/>
        </w:rPr>
        <w:t>“</w:t>
      </w:r>
      <w:r w:rsidRPr="00C35D6B">
        <w:rPr>
          <w:i/>
          <w:iCs/>
          <w:sz w:val="23"/>
          <w:szCs w:val="23"/>
        </w:rPr>
        <w:t>in accordance with the law</w:t>
      </w:r>
      <w:r>
        <w:rPr>
          <w:sz w:val="23"/>
          <w:szCs w:val="23"/>
        </w:rPr>
        <w:t xml:space="preserve">” </w:t>
      </w:r>
      <w:r w:rsidRPr="008F1DE9">
        <w:rPr>
          <w:sz w:val="23"/>
          <w:szCs w:val="23"/>
        </w:rPr>
        <w:t>the legal basis must:</w:t>
      </w:r>
    </w:p>
    <w:p w14:paraId="11FFB0B1" w14:textId="62DCF131" w:rsidR="008F1DE9" w:rsidRPr="008F1DE9" w:rsidRDefault="008F1DE9" w:rsidP="008F1DE9">
      <w:pPr>
        <w:pStyle w:val="Untitledsubclause1"/>
        <w:numPr>
          <w:ilvl w:val="0"/>
          <w:numId w:val="0"/>
        </w:numPr>
        <w:ind w:left="720"/>
        <w:rPr>
          <w:i/>
          <w:iCs/>
          <w:sz w:val="23"/>
          <w:szCs w:val="23"/>
        </w:rPr>
      </w:pPr>
      <w:r w:rsidRPr="008F1DE9">
        <w:rPr>
          <w:i/>
          <w:iCs/>
          <w:sz w:val="23"/>
          <w:szCs w:val="23"/>
        </w:rPr>
        <w:t>“</w:t>
      </w:r>
      <w:r w:rsidR="00C35D6B">
        <w:rPr>
          <w:i/>
          <w:iCs/>
          <w:sz w:val="23"/>
          <w:szCs w:val="23"/>
        </w:rPr>
        <w:t>B</w:t>
      </w:r>
      <w:r w:rsidRPr="008F1DE9">
        <w:rPr>
          <w:i/>
          <w:iCs/>
          <w:sz w:val="23"/>
          <w:szCs w:val="23"/>
        </w:rPr>
        <w:t>e ‘accessible’ to the person concerned, meaning that it must be published and comprehensible, and it must be possible to discover what its provisions are. The measure must be ‘foreseeable’ meaning that it must be possible for a person to foresee its consequences for them and it should not ‘confer a discretion so broad that its scope is in practice dependant on the will of those who apply it, rather than on the law itself”.</w:t>
      </w:r>
      <w:r>
        <w:rPr>
          <w:rStyle w:val="FootnoteReference"/>
          <w:i/>
          <w:iCs/>
          <w:sz w:val="23"/>
          <w:szCs w:val="23"/>
        </w:rPr>
        <w:footnoteReference w:id="22"/>
      </w:r>
    </w:p>
    <w:p w14:paraId="1D3AC20B" w14:textId="77777777" w:rsidR="008F1DE9" w:rsidRDefault="008F1DE9" w:rsidP="008F1DE9">
      <w:pPr>
        <w:pStyle w:val="Untitledsubclause1"/>
        <w:rPr>
          <w:sz w:val="23"/>
          <w:szCs w:val="23"/>
        </w:rPr>
      </w:pPr>
      <w:r w:rsidRPr="008F1DE9">
        <w:rPr>
          <w:sz w:val="23"/>
          <w:szCs w:val="23"/>
        </w:rPr>
        <w:t>In considering accessibility and foreseeability, the Court of Appeal considered the level of discretion that South Wales Police officers held in the case before it to determine where they</w:t>
      </w:r>
      <w:r>
        <w:rPr>
          <w:sz w:val="23"/>
          <w:szCs w:val="23"/>
        </w:rPr>
        <w:t xml:space="preserve"> </w:t>
      </w:r>
      <w:r w:rsidRPr="008F1DE9">
        <w:rPr>
          <w:sz w:val="23"/>
          <w:szCs w:val="23"/>
        </w:rPr>
        <w:t xml:space="preserve">deployed facial recognition technology and who they deployed it to locate those on a Watchlist. The </w:t>
      </w:r>
      <w:r>
        <w:rPr>
          <w:sz w:val="23"/>
          <w:szCs w:val="23"/>
        </w:rPr>
        <w:t>C</w:t>
      </w:r>
      <w:r w:rsidRPr="008F1DE9">
        <w:rPr>
          <w:sz w:val="23"/>
          <w:szCs w:val="23"/>
        </w:rPr>
        <w:t>ourt refers to this as the “</w:t>
      </w:r>
      <w:r w:rsidRPr="008F1DE9">
        <w:rPr>
          <w:i/>
          <w:iCs/>
          <w:sz w:val="23"/>
          <w:szCs w:val="23"/>
          <w:u w:val="single"/>
        </w:rPr>
        <w:t>Who Question</w:t>
      </w:r>
      <w:r w:rsidRPr="008F1DE9">
        <w:rPr>
          <w:sz w:val="23"/>
          <w:szCs w:val="23"/>
        </w:rPr>
        <w:t>” and the “</w:t>
      </w:r>
      <w:r w:rsidRPr="008F1DE9">
        <w:rPr>
          <w:i/>
          <w:iCs/>
          <w:sz w:val="23"/>
          <w:szCs w:val="23"/>
          <w:u w:val="single"/>
        </w:rPr>
        <w:t>Where Question</w:t>
      </w:r>
      <w:r w:rsidRPr="008F1DE9">
        <w:rPr>
          <w:sz w:val="23"/>
          <w:szCs w:val="23"/>
        </w:rPr>
        <w:t>”.</w:t>
      </w:r>
    </w:p>
    <w:p w14:paraId="5DAC7A64" w14:textId="77777777" w:rsidR="00835E46" w:rsidRDefault="008F1DE9" w:rsidP="008F1DE9">
      <w:pPr>
        <w:pStyle w:val="Untitledsubclause2"/>
        <w:rPr>
          <w:sz w:val="23"/>
          <w:szCs w:val="23"/>
        </w:rPr>
      </w:pPr>
      <w:r w:rsidRPr="008F1DE9">
        <w:rPr>
          <w:sz w:val="23"/>
          <w:szCs w:val="23"/>
        </w:rPr>
        <w:lastRenderedPageBreak/>
        <w:t xml:space="preserve">The </w:t>
      </w:r>
      <w:r>
        <w:rPr>
          <w:sz w:val="23"/>
          <w:szCs w:val="23"/>
        </w:rPr>
        <w:t>“</w:t>
      </w:r>
      <w:r w:rsidRPr="008F1DE9">
        <w:rPr>
          <w:i/>
          <w:iCs/>
          <w:sz w:val="23"/>
          <w:szCs w:val="23"/>
          <w:u w:val="single"/>
        </w:rPr>
        <w:t>Who Question</w:t>
      </w:r>
      <w:r>
        <w:rPr>
          <w:sz w:val="23"/>
          <w:szCs w:val="23"/>
        </w:rPr>
        <w:t>”</w:t>
      </w:r>
      <w:r w:rsidRPr="008F1DE9">
        <w:rPr>
          <w:sz w:val="23"/>
          <w:szCs w:val="23"/>
        </w:rPr>
        <w:t xml:space="preserve">: When considering how the ‘Who Question’ should be answered, the Court of Appeal made it clear that, the law does not seek specific confirmation as to who is on a Watchlist (they recognise the </w:t>
      </w:r>
      <w:r>
        <w:rPr>
          <w:sz w:val="23"/>
          <w:szCs w:val="23"/>
        </w:rPr>
        <w:t>neither confirm nor deny</w:t>
      </w:r>
      <w:r w:rsidRPr="008F1DE9">
        <w:rPr>
          <w:sz w:val="23"/>
          <w:szCs w:val="23"/>
        </w:rPr>
        <w:t xml:space="preserve"> principle).</w:t>
      </w:r>
      <w:r>
        <w:rPr>
          <w:rStyle w:val="FootnoteReference"/>
          <w:sz w:val="23"/>
          <w:szCs w:val="23"/>
        </w:rPr>
        <w:footnoteReference w:id="23"/>
      </w:r>
      <w:r w:rsidRPr="008F1DE9">
        <w:rPr>
          <w:sz w:val="23"/>
          <w:szCs w:val="23"/>
        </w:rPr>
        <w:t xml:space="preserve"> The Court of Appeal recognised that individuals could be added to a Watchlist on the basis that they are wanted on suspicion of an offence, wanted on warrant and vulnerable persons”.</w:t>
      </w:r>
    </w:p>
    <w:p w14:paraId="188C6250" w14:textId="77777777" w:rsidR="00835E46" w:rsidRDefault="008F1DE9" w:rsidP="008F1DE9">
      <w:pPr>
        <w:pStyle w:val="Untitledsubclause2"/>
        <w:rPr>
          <w:sz w:val="23"/>
          <w:szCs w:val="23"/>
        </w:rPr>
      </w:pPr>
      <w:r w:rsidRPr="008F1DE9">
        <w:rPr>
          <w:sz w:val="23"/>
          <w:szCs w:val="23"/>
        </w:rPr>
        <w:t>The Court of Appeal also explain</w:t>
      </w:r>
      <w:r w:rsidR="00835E46">
        <w:rPr>
          <w:sz w:val="23"/>
          <w:szCs w:val="23"/>
        </w:rPr>
        <w:t>ed</w:t>
      </w:r>
      <w:r w:rsidRPr="008F1DE9">
        <w:rPr>
          <w:sz w:val="23"/>
          <w:szCs w:val="23"/>
        </w:rPr>
        <w:t xml:space="preserve"> why a category of those “other persons where intelligence is required” was not accessible and foreseeable to meet the ‘in accordance with the law’ test. They noted that the category was not readily understood, nor was it objective – it left “too broad a discretion vested in the individual police officer to decide who should go onto the watchlist” – essentially it allowed police officers to decide what ‘other persons where intelligence is required’ meant on a case-by-case basis rather than deciding if a subject met the criteria set out in the force policy.</w:t>
      </w:r>
    </w:p>
    <w:p w14:paraId="7B2A5709" w14:textId="39912C40" w:rsidR="00835E46" w:rsidRDefault="008F1DE9" w:rsidP="008F1DE9">
      <w:pPr>
        <w:pStyle w:val="Untitledsubclause2"/>
        <w:rPr>
          <w:sz w:val="23"/>
          <w:szCs w:val="23"/>
        </w:rPr>
      </w:pPr>
      <w:r w:rsidRPr="008F1DE9">
        <w:rPr>
          <w:sz w:val="23"/>
          <w:szCs w:val="23"/>
        </w:rPr>
        <w:t xml:space="preserve">Following an approach recognised by the Court of Appeal, </w:t>
      </w:r>
      <w:r w:rsidR="00835E46">
        <w:rPr>
          <w:sz w:val="23"/>
          <w:szCs w:val="23"/>
        </w:rPr>
        <w:t>Cumbria Constabulary must</w:t>
      </w:r>
      <w:r w:rsidRPr="008F1DE9">
        <w:rPr>
          <w:sz w:val="23"/>
          <w:szCs w:val="23"/>
        </w:rPr>
        <w:t xml:space="preserve"> addres</w:t>
      </w:r>
      <w:r w:rsidR="00835E46">
        <w:rPr>
          <w:sz w:val="23"/>
          <w:szCs w:val="23"/>
        </w:rPr>
        <w:t>s</w:t>
      </w:r>
      <w:r w:rsidRPr="008F1DE9">
        <w:rPr>
          <w:sz w:val="23"/>
          <w:szCs w:val="23"/>
        </w:rPr>
        <w:t xml:space="preserve"> the ‘Who Question’ in its published</w:t>
      </w:r>
      <w:r w:rsidR="00835E46">
        <w:rPr>
          <w:sz w:val="23"/>
          <w:szCs w:val="23"/>
        </w:rPr>
        <w:t xml:space="preserve"> </w:t>
      </w:r>
      <w:r w:rsidRPr="008F1DE9">
        <w:rPr>
          <w:sz w:val="23"/>
          <w:szCs w:val="23"/>
        </w:rPr>
        <w:t xml:space="preserve">LFR Documents. </w:t>
      </w:r>
      <w:r w:rsidR="00835E46">
        <w:rPr>
          <w:sz w:val="23"/>
          <w:szCs w:val="23"/>
        </w:rPr>
        <w:t xml:space="preserve">It is critical to </w:t>
      </w:r>
      <w:proofErr w:type="gramStart"/>
      <w:r w:rsidR="00835E46">
        <w:rPr>
          <w:sz w:val="23"/>
          <w:szCs w:val="23"/>
        </w:rPr>
        <w:t>asses</w:t>
      </w:r>
      <w:proofErr w:type="gramEnd"/>
      <w:r w:rsidR="00835E46">
        <w:rPr>
          <w:sz w:val="23"/>
          <w:szCs w:val="23"/>
        </w:rPr>
        <w:t xml:space="preserve"> a</w:t>
      </w:r>
      <w:r w:rsidRPr="008F1DE9">
        <w:rPr>
          <w:sz w:val="23"/>
          <w:szCs w:val="23"/>
        </w:rPr>
        <w:t xml:space="preserve"> </w:t>
      </w:r>
      <w:proofErr w:type="gramStart"/>
      <w:r w:rsidRPr="008F1DE9">
        <w:rPr>
          <w:sz w:val="23"/>
          <w:szCs w:val="23"/>
        </w:rPr>
        <w:t>criteria</w:t>
      </w:r>
      <w:proofErr w:type="gramEnd"/>
      <w:r w:rsidRPr="008F1DE9">
        <w:rPr>
          <w:sz w:val="23"/>
          <w:szCs w:val="23"/>
        </w:rPr>
        <w:t xml:space="preserve"> that applies to govern the images that may be included on a Watchlist and in what circumstances. </w:t>
      </w:r>
      <w:r w:rsidR="00835E46">
        <w:rPr>
          <w:sz w:val="23"/>
          <w:szCs w:val="23"/>
        </w:rPr>
        <w:t>Using terminology</w:t>
      </w:r>
      <w:r w:rsidRPr="008F1DE9">
        <w:rPr>
          <w:sz w:val="23"/>
          <w:szCs w:val="23"/>
        </w:rPr>
        <w:t xml:space="preserve"> </w:t>
      </w:r>
      <w:r w:rsidR="00835E46">
        <w:rPr>
          <w:sz w:val="23"/>
          <w:szCs w:val="23"/>
        </w:rPr>
        <w:t xml:space="preserve">can assist in creating a </w:t>
      </w:r>
      <w:proofErr w:type="gramStart"/>
      <w:r w:rsidRPr="008F1DE9">
        <w:rPr>
          <w:sz w:val="23"/>
          <w:szCs w:val="23"/>
        </w:rPr>
        <w:t>criteria</w:t>
      </w:r>
      <w:proofErr w:type="gramEnd"/>
      <w:r w:rsidR="00835E46">
        <w:rPr>
          <w:sz w:val="23"/>
          <w:szCs w:val="23"/>
        </w:rPr>
        <w:t xml:space="preserve"> that</w:t>
      </w:r>
      <w:r w:rsidRPr="008F1DE9">
        <w:rPr>
          <w:sz w:val="23"/>
          <w:szCs w:val="23"/>
        </w:rPr>
        <w:t xml:space="preserve"> is accessible and foreseeable, such that </w:t>
      </w:r>
      <w:r w:rsidR="00835E46">
        <w:rPr>
          <w:sz w:val="23"/>
          <w:szCs w:val="23"/>
        </w:rPr>
        <w:t>such criteria</w:t>
      </w:r>
      <w:r w:rsidRPr="008F1DE9">
        <w:rPr>
          <w:sz w:val="23"/>
          <w:szCs w:val="23"/>
        </w:rPr>
        <w:t xml:space="preserve"> can be readily understood and objective to both officers and the public.</w:t>
      </w:r>
      <w:r w:rsidR="00710176">
        <w:rPr>
          <w:sz w:val="23"/>
          <w:szCs w:val="23"/>
        </w:rPr>
        <w:t xml:space="preserve"> Cumbria Constabulary addresses the who criteria within </w:t>
      </w:r>
      <w:r w:rsidR="0062243A">
        <w:rPr>
          <w:sz w:val="23"/>
          <w:szCs w:val="23"/>
        </w:rPr>
        <w:t>s</w:t>
      </w:r>
      <w:r w:rsidR="00710176">
        <w:rPr>
          <w:sz w:val="23"/>
          <w:szCs w:val="23"/>
        </w:rPr>
        <w:t xml:space="preserve">ection 5 of the LFR Policy. Cumbria Constabulary addresses </w:t>
      </w:r>
      <w:r w:rsidR="004D04D0">
        <w:rPr>
          <w:sz w:val="23"/>
          <w:szCs w:val="23"/>
        </w:rPr>
        <w:t>W</w:t>
      </w:r>
      <w:r w:rsidR="00710176">
        <w:rPr>
          <w:sz w:val="23"/>
          <w:szCs w:val="23"/>
        </w:rPr>
        <w:t xml:space="preserve">atchlist considerations in </w:t>
      </w:r>
      <w:r w:rsidR="0062243A">
        <w:rPr>
          <w:sz w:val="23"/>
          <w:szCs w:val="23"/>
        </w:rPr>
        <w:t>s</w:t>
      </w:r>
      <w:r w:rsidR="00710176">
        <w:rPr>
          <w:sz w:val="23"/>
          <w:szCs w:val="23"/>
        </w:rPr>
        <w:t>ection 10 of the LFR Policy.</w:t>
      </w:r>
    </w:p>
    <w:p w14:paraId="5AE8BB5B" w14:textId="33107A08" w:rsidR="008F1DE9" w:rsidRDefault="008F1DE9" w:rsidP="008F1DE9">
      <w:pPr>
        <w:pStyle w:val="Untitledsubclause2"/>
        <w:rPr>
          <w:sz w:val="23"/>
          <w:szCs w:val="23"/>
        </w:rPr>
      </w:pPr>
      <w:r w:rsidRPr="008F1DE9">
        <w:rPr>
          <w:sz w:val="23"/>
          <w:szCs w:val="23"/>
        </w:rPr>
        <w:t xml:space="preserve">The </w:t>
      </w:r>
      <w:r w:rsidR="00835E46">
        <w:rPr>
          <w:sz w:val="23"/>
          <w:szCs w:val="23"/>
        </w:rPr>
        <w:t>“</w:t>
      </w:r>
      <w:r w:rsidRPr="00835E46">
        <w:rPr>
          <w:i/>
          <w:iCs/>
          <w:sz w:val="23"/>
          <w:szCs w:val="23"/>
          <w:u w:val="single"/>
        </w:rPr>
        <w:t>Where Question</w:t>
      </w:r>
      <w:r w:rsidR="00835E46">
        <w:rPr>
          <w:sz w:val="23"/>
          <w:szCs w:val="23"/>
        </w:rPr>
        <w:t>”</w:t>
      </w:r>
      <w:r w:rsidRPr="008F1DE9">
        <w:rPr>
          <w:sz w:val="23"/>
          <w:szCs w:val="23"/>
        </w:rPr>
        <w:t xml:space="preserve">: The Court of Appeal noted that the South Wales Police team “was not able to draw to attention anything which specifies where AFR Locate may be deployed”. </w:t>
      </w:r>
      <w:r w:rsidR="00835E46">
        <w:rPr>
          <w:sz w:val="23"/>
          <w:szCs w:val="23"/>
        </w:rPr>
        <w:t>It is therefore critical that Cumbria Constabulary’s LFR Documents answer this</w:t>
      </w:r>
      <w:r w:rsidRPr="008F1DE9">
        <w:rPr>
          <w:sz w:val="23"/>
          <w:szCs w:val="23"/>
        </w:rPr>
        <w:t xml:space="preserve">. In answering this question, in many instances, the need to locate a person will determine where it is best to site LFR to facilitate making a successful location. However, other factors will also be </w:t>
      </w:r>
      <w:proofErr w:type="gramStart"/>
      <w:r w:rsidRPr="008F1DE9">
        <w:rPr>
          <w:sz w:val="23"/>
          <w:szCs w:val="23"/>
        </w:rPr>
        <w:t>relevant</w:t>
      </w:r>
      <w:proofErr w:type="gramEnd"/>
      <w:r w:rsidRPr="008F1DE9">
        <w:rPr>
          <w:sz w:val="23"/>
          <w:szCs w:val="23"/>
        </w:rPr>
        <w:t xml:space="preserve"> and these include the nature of the site itself from a privacy perspective, those passing the site, and the policing need to be at the site (including for the public’s protection, supressing crime hotspots, and getting ahead of crime trends).</w:t>
      </w:r>
      <w:r w:rsidR="007B792F">
        <w:rPr>
          <w:sz w:val="23"/>
          <w:szCs w:val="23"/>
        </w:rPr>
        <w:t xml:space="preserve"> </w:t>
      </w:r>
      <w:r w:rsidR="007B792F" w:rsidRPr="007B792F">
        <w:rPr>
          <w:sz w:val="23"/>
          <w:szCs w:val="23"/>
        </w:rPr>
        <w:t xml:space="preserve">The location for a specific LFR Deployment is responsive to the Use Case for which the LFR is proposed for Deployment and the policing objectives relevant to each individual Use Case, the LFR Use Cases are outlined within </w:t>
      </w:r>
      <w:r w:rsidR="0062243A">
        <w:rPr>
          <w:sz w:val="23"/>
          <w:szCs w:val="23"/>
        </w:rPr>
        <w:t>s</w:t>
      </w:r>
      <w:r w:rsidR="007B792F" w:rsidRPr="007B792F">
        <w:rPr>
          <w:sz w:val="23"/>
          <w:szCs w:val="23"/>
        </w:rPr>
        <w:t xml:space="preserve">ection </w:t>
      </w:r>
      <w:r w:rsidR="007B792F">
        <w:rPr>
          <w:sz w:val="23"/>
          <w:szCs w:val="23"/>
        </w:rPr>
        <w:t>5</w:t>
      </w:r>
      <w:r w:rsidR="007B792F" w:rsidRPr="007B792F">
        <w:rPr>
          <w:sz w:val="23"/>
          <w:szCs w:val="23"/>
        </w:rPr>
        <w:t xml:space="preserve"> of the </w:t>
      </w:r>
      <w:r w:rsidR="00710176">
        <w:rPr>
          <w:sz w:val="23"/>
          <w:szCs w:val="23"/>
        </w:rPr>
        <w:t xml:space="preserve">LFR </w:t>
      </w:r>
      <w:r w:rsidR="007B792F" w:rsidRPr="007B792F">
        <w:rPr>
          <w:sz w:val="23"/>
          <w:szCs w:val="23"/>
        </w:rPr>
        <w:t>Policy</w:t>
      </w:r>
      <w:r w:rsidR="00A5382C">
        <w:rPr>
          <w:sz w:val="23"/>
          <w:szCs w:val="23"/>
        </w:rPr>
        <w:t>.</w:t>
      </w:r>
    </w:p>
    <w:p w14:paraId="2C06A859" w14:textId="77777777" w:rsidR="005D7B1E" w:rsidRDefault="005D7B1E" w:rsidP="005D7B1E">
      <w:pPr>
        <w:pStyle w:val="Untitledsubclause2"/>
        <w:numPr>
          <w:ilvl w:val="0"/>
          <w:numId w:val="0"/>
        </w:numPr>
        <w:ind w:left="1555"/>
        <w:rPr>
          <w:sz w:val="23"/>
          <w:szCs w:val="23"/>
        </w:rPr>
      </w:pPr>
    </w:p>
    <w:p w14:paraId="56891B80" w14:textId="6EEBE164" w:rsidR="00A5382C" w:rsidRDefault="00D00A9F" w:rsidP="00D00A9F">
      <w:pPr>
        <w:pStyle w:val="Untitledsubclause1"/>
        <w:numPr>
          <w:ilvl w:val="0"/>
          <w:numId w:val="0"/>
        </w:numPr>
        <w:ind w:left="720"/>
        <w:rPr>
          <w:b/>
          <w:bCs/>
          <w:sz w:val="23"/>
          <w:szCs w:val="23"/>
          <w:u w:val="single"/>
        </w:rPr>
      </w:pPr>
      <w:r w:rsidRPr="00D00A9F">
        <w:rPr>
          <w:b/>
          <w:bCs/>
          <w:sz w:val="23"/>
          <w:szCs w:val="23"/>
          <w:u w:val="single"/>
        </w:rPr>
        <w:lastRenderedPageBreak/>
        <w:t>The use of LFR seeks to achieve a legitimate aim</w:t>
      </w:r>
    </w:p>
    <w:p w14:paraId="555DE2DE" w14:textId="3D92D0C4" w:rsidR="00D00A9F" w:rsidRDefault="00B96E81" w:rsidP="00D00A9F">
      <w:pPr>
        <w:pStyle w:val="Untitledsubclause1"/>
        <w:rPr>
          <w:sz w:val="23"/>
          <w:szCs w:val="23"/>
        </w:rPr>
      </w:pPr>
      <w:r w:rsidRPr="00D00A9F">
        <w:rPr>
          <w:sz w:val="23"/>
          <w:szCs w:val="23"/>
        </w:rPr>
        <w:t>Article 8</w:t>
      </w:r>
      <w:r w:rsidR="00D00A9F" w:rsidRPr="00D00A9F">
        <w:rPr>
          <w:sz w:val="23"/>
          <w:szCs w:val="23"/>
        </w:rPr>
        <w:t xml:space="preserve"> recognises action in the interests of national security, public safety and the prevention of disorder and crime as legitimate aims. The use of LFR in the context of assisting </w:t>
      </w:r>
      <w:r w:rsidR="00D00A9F">
        <w:rPr>
          <w:sz w:val="23"/>
          <w:szCs w:val="23"/>
        </w:rPr>
        <w:t xml:space="preserve">Cumbria Constabulary </w:t>
      </w:r>
      <w:r w:rsidR="00D00A9F" w:rsidRPr="00D00A9F">
        <w:rPr>
          <w:sz w:val="23"/>
          <w:szCs w:val="23"/>
        </w:rPr>
        <w:t xml:space="preserve">locate offenders will </w:t>
      </w:r>
      <w:r w:rsidR="00D00A9F">
        <w:rPr>
          <w:sz w:val="23"/>
          <w:szCs w:val="23"/>
        </w:rPr>
        <w:t>assist Cumbria Constabulary in</w:t>
      </w:r>
      <w:r w:rsidR="00D00A9F" w:rsidRPr="00D00A9F">
        <w:rPr>
          <w:sz w:val="23"/>
          <w:szCs w:val="23"/>
        </w:rPr>
        <w:t xml:space="preserve"> achiev</w:t>
      </w:r>
      <w:r w:rsidR="00D00A9F">
        <w:rPr>
          <w:sz w:val="23"/>
          <w:szCs w:val="23"/>
        </w:rPr>
        <w:t>ing</w:t>
      </w:r>
      <w:r w:rsidR="00D00A9F" w:rsidRPr="00D00A9F">
        <w:rPr>
          <w:sz w:val="23"/>
          <w:szCs w:val="23"/>
        </w:rPr>
        <w:t xml:space="preserve"> its law enforcement purposes. The means by which </w:t>
      </w:r>
      <w:r w:rsidR="00D00A9F">
        <w:rPr>
          <w:sz w:val="23"/>
          <w:szCs w:val="23"/>
        </w:rPr>
        <w:t xml:space="preserve">Cumbria Constabulary </w:t>
      </w:r>
      <w:r w:rsidR="00D00A9F" w:rsidRPr="00D00A9F">
        <w:rPr>
          <w:sz w:val="23"/>
          <w:szCs w:val="23"/>
        </w:rPr>
        <w:t xml:space="preserve">may use LFR will be an operational decision within the parameters of the law and </w:t>
      </w:r>
      <w:r w:rsidR="00D00A9F">
        <w:rPr>
          <w:sz w:val="23"/>
          <w:szCs w:val="23"/>
        </w:rPr>
        <w:t>Cumbria Constabulary</w:t>
      </w:r>
      <w:r w:rsidR="00D00A9F" w:rsidRPr="00D00A9F">
        <w:rPr>
          <w:sz w:val="23"/>
          <w:szCs w:val="23"/>
        </w:rPr>
        <w:t xml:space="preserve"> LFR Documents. It will need to be driven by the policing issue at hand. This may vary from the need to locate those wanted in connection with criminality or otherwise pose a risk of harm, to more preventative tactics designed to bring reassurance to communities and enable the use of precision technology to more proactively focus policing resources.</w:t>
      </w:r>
    </w:p>
    <w:p w14:paraId="21707ADD" w14:textId="58A92B90" w:rsidR="00D00A9F" w:rsidRDefault="00D00A9F" w:rsidP="00D00A9F">
      <w:pPr>
        <w:pStyle w:val="Untitledsubclause1"/>
        <w:rPr>
          <w:sz w:val="23"/>
          <w:szCs w:val="23"/>
        </w:rPr>
      </w:pPr>
      <w:r>
        <w:rPr>
          <w:sz w:val="23"/>
          <w:szCs w:val="23"/>
        </w:rPr>
        <w:t>Authorising Officers must be clear on the purpose of using LFR to achieve a legitimate aim prior to deployment. Considering the benefits of using LFR and comparing these to any impact LFR may have on an individual’s Article 8 rights must be balanced.</w:t>
      </w:r>
    </w:p>
    <w:p w14:paraId="74972BAA" w14:textId="50C84542" w:rsidR="00D00A9F" w:rsidRDefault="00D00A9F" w:rsidP="00D00A9F">
      <w:pPr>
        <w:pStyle w:val="Untitledsubclause1"/>
        <w:numPr>
          <w:ilvl w:val="0"/>
          <w:numId w:val="0"/>
        </w:numPr>
        <w:ind w:left="720"/>
        <w:rPr>
          <w:b/>
          <w:bCs/>
          <w:sz w:val="23"/>
          <w:szCs w:val="23"/>
          <w:u w:val="single"/>
        </w:rPr>
      </w:pPr>
      <w:r w:rsidRPr="00D00A9F">
        <w:rPr>
          <w:b/>
          <w:bCs/>
          <w:sz w:val="23"/>
          <w:szCs w:val="23"/>
          <w:u w:val="single"/>
        </w:rPr>
        <w:t>The use of LFR is necessary for the purposes of that legitimate aim in a democratic society</w:t>
      </w:r>
    </w:p>
    <w:p w14:paraId="57174D26" w14:textId="182F45C5" w:rsidR="00D00A9F" w:rsidRDefault="00D00A9F" w:rsidP="00D00A9F">
      <w:pPr>
        <w:pStyle w:val="Untitledsubclause1"/>
        <w:rPr>
          <w:sz w:val="23"/>
          <w:szCs w:val="23"/>
        </w:rPr>
      </w:pPr>
      <w:r w:rsidRPr="00D00A9F">
        <w:rPr>
          <w:sz w:val="23"/>
          <w:szCs w:val="23"/>
        </w:rPr>
        <w:t xml:space="preserve">LFR will be used in response to a pressing social need by helping </w:t>
      </w:r>
      <w:r>
        <w:rPr>
          <w:sz w:val="23"/>
          <w:szCs w:val="23"/>
        </w:rPr>
        <w:t xml:space="preserve">Cumbria Constabulary </w:t>
      </w:r>
      <w:r w:rsidRPr="00D00A9F">
        <w:rPr>
          <w:sz w:val="23"/>
          <w:szCs w:val="23"/>
        </w:rPr>
        <w:t xml:space="preserve">combat crime in areas where LFR has the greatest potential to assist. It is a tool that helps </w:t>
      </w:r>
      <w:r>
        <w:rPr>
          <w:sz w:val="23"/>
          <w:szCs w:val="23"/>
        </w:rPr>
        <w:t>Cumbria Constabulary</w:t>
      </w:r>
      <w:r w:rsidRPr="00D00A9F">
        <w:rPr>
          <w:sz w:val="23"/>
          <w:szCs w:val="23"/>
        </w:rPr>
        <w:t xml:space="preserve"> to discharge its operational responsibilities, primarily to help prevent and detect crime and protect the most vulnerable.</w:t>
      </w:r>
    </w:p>
    <w:p w14:paraId="1C1477BB" w14:textId="1082A275" w:rsidR="00D00A9F" w:rsidRDefault="00D00A9F" w:rsidP="00D00A9F">
      <w:pPr>
        <w:pStyle w:val="Untitledsubclause1"/>
        <w:rPr>
          <w:sz w:val="23"/>
          <w:szCs w:val="23"/>
        </w:rPr>
      </w:pPr>
      <w:r w:rsidRPr="00D00A9F">
        <w:rPr>
          <w:sz w:val="23"/>
          <w:szCs w:val="23"/>
        </w:rPr>
        <w:t xml:space="preserve">When considering the </w:t>
      </w:r>
      <w:r>
        <w:rPr>
          <w:sz w:val="23"/>
          <w:szCs w:val="23"/>
        </w:rPr>
        <w:t>d</w:t>
      </w:r>
      <w:r w:rsidRPr="00D00A9F">
        <w:rPr>
          <w:sz w:val="23"/>
          <w:szCs w:val="23"/>
        </w:rPr>
        <w:t xml:space="preserve">eployment of LFR, its use is to be underpinned by an intelligence case to highlight the need to combat the relevant crime or public safety issue or policing need to deploy. Having identified a need, this will allow the Authorising Officer to consider the use of LFR. Authorising Officers must decide the use of LFR is necessary and not just desirable to enable </w:t>
      </w:r>
      <w:r>
        <w:rPr>
          <w:sz w:val="23"/>
          <w:szCs w:val="23"/>
        </w:rPr>
        <w:t xml:space="preserve">Cumbria Constabulary </w:t>
      </w:r>
      <w:r w:rsidRPr="00D00A9F">
        <w:rPr>
          <w:sz w:val="23"/>
          <w:szCs w:val="23"/>
        </w:rPr>
        <w:t>to achieve</w:t>
      </w:r>
      <w:r>
        <w:rPr>
          <w:sz w:val="23"/>
          <w:szCs w:val="23"/>
        </w:rPr>
        <w:t xml:space="preserve"> a</w:t>
      </w:r>
      <w:r w:rsidRPr="00D00A9F">
        <w:rPr>
          <w:sz w:val="23"/>
          <w:szCs w:val="23"/>
        </w:rPr>
        <w:t xml:space="preserve"> legitimate aim. In deciding the use of LFR to be necessary, the issue which LFR was intending to address and how LFR would be deployed to address that problem</w:t>
      </w:r>
      <w:r>
        <w:rPr>
          <w:sz w:val="23"/>
          <w:szCs w:val="23"/>
        </w:rPr>
        <w:t>.</w:t>
      </w:r>
    </w:p>
    <w:p w14:paraId="3AD2B08F" w14:textId="5E448B47" w:rsidR="00D00A9F" w:rsidRDefault="00D00A9F" w:rsidP="00D00A9F">
      <w:pPr>
        <w:pStyle w:val="Untitledsubclause1"/>
        <w:rPr>
          <w:sz w:val="23"/>
          <w:szCs w:val="23"/>
        </w:rPr>
      </w:pPr>
      <w:r>
        <w:rPr>
          <w:sz w:val="23"/>
          <w:szCs w:val="23"/>
        </w:rPr>
        <w:t>Examples of why LFR may be used as a necessary tool to prevent crime and disorder including location of vulnerable individuals in child sexual abuse cases and the prevention of reoffending by known offenders, personal property theft when known offenders target individuals at large gathering and events and enforcing outstanding warrants and policing crime hotspots.</w:t>
      </w:r>
    </w:p>
    <w:p w14:paraId="19C96253" w14:textId="77777777" w:rsidR="00E478CB" w:rsidRDefault="00E478CB" w:rsidP="00E478CB">
      <w:pPr>
        <w:pStyle w:val="TitleClause"/>
        <w:numPr>
          <w:ilvl w:val="0"/>
          <w:numId w:val="0"/>
        </w:numPr>
        <w:rPr>
          <w:sz w:val="23"/>
          <w:szCs w:val="23"/>
        </w:rPr>
      </w:pPr>
    </w:p>
    <w:p w14:paraId="1E0496E3" w14:textId="77777777" w:rsidR="00E478CB" w:rsidRDefault="00E478CB" w:rsidP="00E478CB">
      <w:pPr>
        <w:pStyle w:val="TitleClause"/>
        <w:numPr>
          <w:ilvl w:val="0"/>
          <w:numId w:val="0"/>
        </w:numPr>
        <w:rPr>
          <w:sz w:val="23"/>
          <w:szCs w:val="23"/>
        </w:rPr>
      </w:pPr>
    </w:p>
    <w:p w14:paraId="5189DFED" w14:textId="77777777" w:rsidR="00E478CB" w:rsidRDefault="00E478CB" w:rsidP="00D00A9F">
      <w:pPr>
        <w:pStyle w:val="Untitledsubclause1"/>
        <w:numPr>
          <w:ilvl w:val="0"/>
          <w:numId w:val="0"/>
        </w:numPr>
        <w:ind w:left="720"/>
        <w:rPr>
          <w:b/>
          <w:bCs/>
          <w:sz w:val="23"/>
          <w:szCs w:val="23"/>
          <w:u w:val="single"/>
        </w:rPr>
      </w:pPr>
    </w:p>
    <w:p w14:paraId="4232E9F5" w14:textId="444A8983" w:rsidR="00D00A9F" w:rsidRDefault="00D00A9F" w:rsidP="00D00A9F">
      <w:pPr>
        <w:pStyle w:val="Untitledsubclause1"/>
        <w:numPr>
          <w:ilvl w:val="0"/>
          <w:numId w:val="0"/>
        </w:numPr>
        <w:ind w:left="720"/>
        <w:rPr>
          <w:b/>
          <w:bCs/>
          <w:sz w:val="23"/>
          <w:szCs w:val="23"/>
          <w:u w:val="single"/>
        </w:rPr>
      </w:pPr>
      <w:r w:rsidRPr="00D00A9F">
        <w:rPr>
          <w:b/>
          <w:bCs/>
          <w:sz w:val="23"/>
          <w:szCs w:val="23"/>
          <w:u w:val="single"/>
        </w:rPr>
        <w:lastRenderedPageBreak/>
        <w:t>The use of LFR is proportionate to legitimate aim being sought</w:t>
      </w:r>
    </w:p>
    <w:p w14:paraId="3D0D6B0D" w14:textId="77777777" w:rsidR="00E22208" w:rsidRDefault="00E22208" w:rsidP="00E22208">
      <w:pPr>
        <w:pStyle w:val="Untitledsubclause1"/>
        <w:rPr>
          <w:sz w:val="23"/>
          <w:szCs w:val="23"/>
        </w:rPr>
      </w:pPr>
      <w:r w:rsidRPr="00E22208">
        <w:rPr>
          <w:sz w:val="23"/>
          <w:szCs w:val="23"/>
        </w:rPr>
        <w:t>When considering the Deployment of LFR, the benefits of using LFR for an investigation or operation should not be disproportionate or arbitrary. In this respect the Surveillance Camera Commissioner recognises that:</w:t>
      </w:r>
    </w:p>
    <w:p w14:paraId="23B5D477" w14:textId="64BBE057" w:rsidR="00E22208" w:rsidRPr="00E22208" w:rsidRDefault="00E22208" w:rsidP="00E22208">
      <w:pPr>
        <w:pStyle w:val="Untitledsubclause1"/>
        <w:numPr>
          <w:ilvl w:val="0"/>
          <w:numId w:val="0"/>
        </w:numPr>
        <w:ind w:left="720"/>
        <w:rPr>
          <w:i/>
          <w:iCs/>
          <w:sz w:val="23"/>
          <w:szCs w:val="23"/>
        </w:rPr>
      </w:pPr>
      <w:r w:rsidRPr="00E22208">
        <w:rPr>
          <w:i/>
          <w:iCs/>
          <w:sz w:val="23"/>
          <w:szCs w:val="23"/>
        </w:rPr>
        <w:t>“</w:t>
      </w:r>
      <w:r w:rsidR="00135524" w:rsidRPr="00E22208">
        <w:rPr>
          <w:i/>
          <w:iCs/>
          <w:sz w:val="23"/>
          <w:szCs w:val="23"/>
        </w:rPr>
        <w:t>Used</w:t>
      </w:r>
      <w:r w:rsidRPr="00E22208">
        <w:rPr>
          <w:i/>
          <w:iCs/>
          <w:sz w:val="23"/>
          <w:szCs w:val="23"/>
        </w:rPr>
        <w:t xml:space="preserve"> appropriately, current and future technology can and will provide a proportionate and effective solution where surveillance is in pursuit of a legitimate aim and meets a pressing need”.</w:t>
      </w:r>
    </w:p>
    <w:p w14:paraId="1990B2B3" w14:textId="77777777" w:rsidR="00E22208" w:rsidRDefault="00E22208" w:rsidP="009D33F7">
      <w:pPr>
        <w:pStyle w:val="Untitledsubclause1"/>
        <w:rPr>
          <w:sz w:val="23"/>
          <w:szCs w:val="23"/>
        </w:rPr>
      </w:pPr>
      <w:r w:rsidRPr="00E22208">
        <w:rPr>
          <w:sz w:val="23"/>
          <w:szCs w:val="23"/>
        </w:rPr>
        <w:t>In this respect, the following factors (amongst others, depending on the nature of the Deployment) will guide Authorising Officers:</w:t>
      </w:r>
    </w:p>
    <w:p w14:paraId="49DF887E" w14:textId="77777777" w:rsidR="00E22208" w:rsidRDefault="00E22208" w:rsidP="00E22208">
      <w:pPr>
        <w:pStyle w:val="Untitledsubclause2"/>
        <w:rPr>
          <w:sz w:val="23"/>
          <w:szCs w:val="23"/>
        </w:rPr>
      </w:pPr>
      <w:r w:rsidRPr="00E22208">
        <w:rPr>
          <w:sz w:val="23"/>
          <w:szCs w:val="23"/>
        </w:rPr>
        <w:t xml:space="preserve">The use of LFR should be a reasonable use of </w:t>
      </w:r>
      <w:r>
        <w:rPr>
          <w:sz w:val="23"/>
          <w:szCs w:val="23"/>
        </w:rPr>
        <w:t>Cumbria Constabulary’s</w:t>
      </w:r>
      <w:r w:rsidRPr="00E22208">
        <w:rPr>
          <w:sz w:val="23"/>
          <w:szCs w:val="23"/>
        </w:rPr>
        <w:t xml:space="preserve"> powers - it will not be proportionate if the proposed use of LFR is excessive in the overall circumstances of the investigation, operation or wider operational strategy to tackle a policing issue.</w:t>
      </w:r>
    </w:p>
    <w:p w14:paraId="55D51E30" w14:textId="77777777" w:rsidR="00E22208" w:rsidRDefault="00E22208" w:rsidP="0028633A">
      <w:pPr>
        <w:pStyle w:val="Untitledsubclause2"/>
        <w:rPr>
          <w:sz w:val="23"/>
          <w:szCs w:val="23"/>
        </w:rPr>
      </w:pPr>
      <w:r w:rsidRPr="00E22208">
        <w:rPr>
          <w:sz w:val="23"/>
          <w:szCs w:val="23"/>
        </w:rPr>
        <w:t xml:space="preserve">Authorising Officers will need to consider the seriousness of the policing issues at hand and the potential benefits of using LFR and balance this with any wider impact its Deployment may have to those on a Watchlist and the public at large. This will allow a decision to be made as to whether LFR is appropriate for use. Authorising Officers must </w:t>
      </w:r>
      <w:proofErr w:type="gramStart"/>
      <w:r w:rsidRPr="00E22208">
        <w:rPr>
          <w:sz w:val="23"/>
          <w:szCs w:val="23"/>
        </w:rPr>
        <w:t>give consideration to</w:t>
      </w:r>
      <w:proofErr w:type="gramEnd"/>
      <w:r w:rsidRPr="00E22208">
        <w:rPr>
          <w:sz w:val="23"/>
          <w:szCs w:val="23"/>
        </w:rPr>
        <w:t xml:space="preserve"> the composition of the Watchlist compiled for the LFR system to match against, to ensure that it is not compiled in an excessive manner. The Watchlist needs to satisfy the necessity and proportionality test and will therefore be driven by the intelligence case and bespoke for each Deployment of LFR to ensure it meets the aims of each Deployment.</w:t>
      </w:r>
    </w:p>
    <w:p w14:paraId="1237DF7C" w14:textId="5DC1B0E5" w:rsidR="00E22208" w:rsidRDefault="00E22208" w:rsidP="0028633A">
      <w:pPr>
        <w:pStyle w:val="Untitledsubclause2"/>
        <w:rPr>
          <w:sz w:val="23"/>
          <w:szCs w:val="23"/>
        </w:rPr>
      </w:pPr>
      <w:r>
        <w:rPr>
          <w:sz w:val="23"/>
          <w:szCs w:val="23"/>
        </w:rPr>
        <w:t>The</w:t>
      </w:r>
      <w:r w:rsidRPr="00E22208">
        <w:rPr>
          <w:sz w:val="23"/>
          <w:szCs w:val="23"/>
        </w:rPr>
        <w:t xml:space="preserve"> Watchlist compiled for each Deployment of LFR should be current; based on those currently of interest to </w:t>
      </w:r>
      <w:r w:rsidR="00F44266">
        <w:rPr>
          <w:sz w:val="23"/>
          <w:szCs w:val="23"/>
        </w:rPr>
        <w:t>Cumbria Constabulary</w:t>
      </w:r>
      <w:r w:rsidRPr="00E22208">
        <w:rPr>
          <w:sz w:val="23"/>
          <w:szCs w:val="23"/>
        </w:rPr>
        <w:t xml:space="preserve"> and/or wider UK law enforcement to mitigate the risk of the LFR system matching with those no longer of interest to </w:t>
      </w:r>
      <w:r w:rsidR="00F44266">
        <w:rPr>
          <w:sz w:val="23"/>
          <w:szCs w:val="23"/>
        </w:rPr>
        <w:t xml:space="preserve">Cumbria Constabulary </w:t>
      </w:r>
      <w:r w:rsidRPr="00E22208">
        <w:rPr>
          <w:sz w:val="23"/>
          <w:szCs w:val="23"/>
        </w:rPr>
        <w:t>and/or wider UK law enforcement.</w:t>
      </w:r>
    </w:p>
    <w:p w14:paraId="0271937C" w14:textId="77777777" w:rsidR="00E22208" w:rsidRPr="0028633A" w:rsidRDefault="00E22208" w:rsidP="00E22208">
      <w:pPr>
        <w:pStyle w:val="Untitledsubclause2"/>
        <w:rPr>
          <w:sz w:val="23"/>
          <w:szCs w:val="23"/>
        </w:rPr>
      </w:pPr>
      <w:r w:rsidRPr="0028633A">
        <w:rPr>
          <w:sz w:val="23"/>
          <w:szCs w:val="23"/>
        </w:rPr>
        <w:t>Consideration should be given as to the extent of any proposed interference with privacy against what is sought to be achieved and if there are other viable methods to achieve the aim which involve a lower level of interference.</w:t>
      </w:r>
    </w:p>
    <w:p w14:paraId="39DE70FB" w14:textId="43DB5703" w:rsidR="00E22208" w:rsidRDefault="00E22208" w:rsidP="0028633A">
      <w:pPr>
        <w:pStyle w:val="Untitledsubclause2"/>
        <w:rPr>
          <w:sz w:val="23"/>
          <w:szCs w:val="23"/>
        </w:rPr>
      </w:pPr>
      <w:r w:rsidRPr="00E22208">
        <w:rPr>
          <w:sz w:val="23"/>
          <w:szCs w:val="23"/>
        </w:rPr>
        <w:t xml:space="preserve">The use of LFR should be considered against other methods of locating persons of interest to </w:t>
      </w:r>
      <w:r>
        <w:rPr>
          <w:sz w:val="23"/>
          <w:szCs w:val="23"/>
        </w:rPr>
        <w:t>Cumbria Constabulary</w:t>
      </w:r>
      <w:r w:rsidRPr="00E22208">
        <w:rPr>
          <w:sz w:val="23"/>
          <w:szCs w:val="23"/>
        </w:rPr>
        <w:t xml:space="preserve"> and/or UK Law Enforcement and other policing tactics which may help tackle the policing issue at hand. Consideration should be given as to the effectiveness and intrusiveness of other viable methods that could give the same result, with the least intrusive, viable method being adopted to progress an investigation or Deployment.</w:t>
      </w:r>
    </w:p>
    <w:p w14:paraId="750E4F68" w14:textId="77777777" w:rsidR="00E22208" w:rsidRPr="00E22208" w:rsidRDefault="00E22208" w:rsidP="00E22208">
      <w:pPr>
        <w:pStyle w:val="Untitledsubclause2"/>
        <w:rPr>
          <w:sz w:val="23"/>
          <w:szCs w:val="23"/>
        </w:rPr>
      </w:pPr>
      <w:r w:rsidRPr="00E22208">
        <w:rPr>
          <w:sz w:val="23"/>
          <w:szCs w:val="23"/>
        </w:rPr>
        <w:t>How and why the methods adopted will cause the least possible interference to the person(s) sought and others must be addressed.</w:t>
      </w:r>
    </w:p>
    <w:p w14:paraId="0507C66F" w14:textId="30A95873" w:rsidR="00E22208" w:rsidRDefault="00E22208" w:rsidP="0028633A">
      <w:pPr>
        <w:pStyle w:val="Untitledsubclause2"/>
        <w:rPr>
          <w:sz w:val="23"/>
          <w:szCs w:val="23"/>
        </w:rPr>
      </w:pPr>
      <w:r w:rsidRPr="00E22208">
        <w:rPr>
          <w:sz w:val="23"/>
          <w:szCs w:val="23"/>
        </w:rPr>
        <w:lastRenderedPageBreak/>
        <w:t>All uses of LFR under this Legal Mandate will be overt. LFR will be used for a limited time – with a limited footprint, with a defined purpose</w:t>
      </w:r>
      <w:r>
        <w:rPr>
          <w:sz w:val="23"/>
          <w:szCs w:val="23"/>
        </w:rPr>
        <w:t xml:space="preserve"> </w:t>
      </w:r>
      <w:r w:rsidRPr="00E22208">
        <w:rPr>
          <w:sz w:val="23"/>
          <w:szCs w:val="23"/>
        </w:rPr>
        <w:t xml:space="preserve">(controlled by way of </w:t>
      </w:r>
      <w:r>
        <w:rPr>
          <w:sz w:val="23"/>
          <w:szCs w:val="23"/>
        </w:rPr>
        <w:t xml:space="preserve">Cumbria Constabulary </w:t>
      </w:r>
      <w:r w:rsidRPr="00E22208">
        <w:rPr>
          <w:sz w:val="23"/>
          <w:szCs w:val="23"/>
        </w:rPr>
        <w:t xml:space="preserve">LFR Documents). The LFR system will be visibly deployed in an open and transparent way. Consistent with the principle of engaging with the public, </w:t>
      </w:r>
      <w:r>
        <w:rPr>
          <w:sz w:val="23"/>
          <w:szCs w:val="23"/>
        </w:rPr>
        <w:t>Cumbria Constabulary</w:t>
      </w:r>
      <w:r w:rsidRPr="00E22208">
        <w:rPr>
          <w:sz w:val="23"/>
          <w:szCs w:val="23"/>
        </w:rPr>
        <w:t xml:space="preserve"> LFR Documents also provides a structure for awareness measures which respond to the nature and objectives of the use of LFR.</w:t>
      </w:r>
    </w:p>
    <w:p w14:paraId="4E6C0017" w14:textId="3ADABCF5" w:rsidR="00E22208" w:rsidRPr="009D33F7" w:rsidRDefault="00E22208" w:rsidP="009D33F7">
      <w:pPr>
        <w:pStyle w:val="Untitledsubclause1"/>
        <w:numPr>
          <w:ilvl w:val="0"/>
          <w:numId w:val="0"/>
        </w:numPr>
        <w:ind w:left="720"/>
        <w:rPr>
          <w:b/>
          <w:bCs/>
          <w:sz w:val="23"/>
          <w:szCs w:val="23"/>
          <w:u w:val="single"/>
        </w:rPr>
      </w:pPr>
      <w:r w:rsidRPr="009D33F7">
        <w:rPr>
          <w:b/>
          <w:bCs/>
          <w:sz w:val="23"/>
          <w:szCs w:val="23"/>
          <w:u w:val="single"/>
        </w:rPr>
        <w:t xml:space="preserve">Proportionality </w:t>
      </w:r>
      <w:r w:rsidR="0028633A">
        <w:rPr>
          <w:b/>
          <w:bCs/>
          <w:sz w:val="23"/>
          <w:szCs w:val="23"/>
          <w:u w:val="single"/>
        </w:rPr>
        <w:t>c</w:t>
      </w:r>
      <w:r w:rsidRPr="009D33F7">
        <w:rPr>
          <w:b/>
          <w:bCs/>
          <w:sz w:val="23"/>
          <w:szCs w:val="23"/>
          <w:u w:val="single"/>
        </w:rPr>
        <w:t>ontrols</w:t>
      </w:r>
    </w:p>
    <w:p w14:paraId="44801729" w14:textId="77777777" w:rsidR="00E22208" w:rsidRDefault="00E22208" w:rsidP="009D33F7">
      <w:pPr>
        <w:pStyle w:val="Untitledsubclause1"/>
        <w:rPr>
          <w:sz w:val="23"/>
          <w:szCs w:val="23"/>
        </w:rPr>
      </w:pPr>
      <w:r>
        <w:rPr>
          <w:sz w:val="23"/>
          <w:szCs w:val="23"/>
        </w:rPr>
        <w:t>Cumbria Constabulary should consider the use of</w:t>
      </w:r>
      <w:r w:rsidRPr="00E22208">
        <w:rPr>
          <w:sz w:val="23"/>
          <w:szCs w:val="23"/>
        </w:rPr>
        <w:t xml:space="preserve"> </w:t>
      </w:r>
      <w:r>
        <w:rPr>
          <w:sz w:val="23"/>
          <w:szCs w:val="23"/>
        </w:rPr>
        <w:t>c</w:t>
      </w:r>
      <w:r w:rsidRPr="00E22208">
        <w:rPr>
          <w:sz w:val="23"/>
          <w:szCs w:val="23"/>
        </w:rPr>
        <w:t xml:space="preserve">ontrols </w:t>
      </w:r>
      <w:r>
        <w:rPr>
          <w:sz w:val="23"/>
          <w:szCs w:val="23"/>
        </w:rPr>
        <w:t>in</w:t>
      </w:r>
      <w:r w:rsidRPr="00E22208">
        <w:rPr>
          <w:sz w:val="23"/>
          <w:szCs w:val="23"/>
        </w:rPr>
        <w:t xml:space="preserve"> the LFR system</w:t>
      </w:r>
      <w:r>
        <w:rPr>
          <w:sz w:val="23"/>
          <w:szCs w:val="23"/>
        </w:rPr>
        <w:t xml:space="preserve"> (and associated use)</w:t>
      </w:r>
      <w:r w:rsidRPr="00E22208">
        <w:rPr>
          <w:sz w:val="23"/>
          <w:szCs w:val="23"/>
        </w:rPr>
        <w:t xml:space="preserve"> to help minimise any impact on the public and those placed on a Watchlist</w:t>
      </w:r>
      <w:r>
        <w:rPr>
          <w:sz w:val="23"/>
          <w:szCs w:val="23"/>
        </w:rPr>
        <w:t>. Some examples (although not an exhaustive list) are as follows:</w:t>
      </w:r>
    </w:p>
    <w:p w14:paraId="3674CF29" w14:textId="77777777" w:rsidR="00E22208" w:rsidRDefault="00E22208" w:rsidP="009D15DA">
      <w:pPr>
        <w:pStyle w:val="Untitledsubclause2"/>
        <w:numPr>
          <w:ilvl w:val="2"/>
          <w:numId w:val="26"/>
        </w:numPr>
        <w:rPr>
          <w:sz w:val="23"/>
          <w:szCs w:val="23"/>
        </w:rPr>
      </w:pPr>
      <w:r w:rsidRPr="00E22208">
        <w:rPr>
          <w:sz w:val="23"/>
          <w:szCs w:val="23"/>
        </w:rPr>
        <w:t xml:space="preserve">LFR </w:t>
      </w:r>
      <w:r>
        <w:rPr>
          <w:sz w:val="23"/>
          <w:szCs w:val="23"/>
        </w:rPr>
        <w:t>should not</w:t>
      </w:r>
      <w:r w:rsidRPr="00E22208">
        <w:rPr>
          <w:sz w:val="23"/>
          <w:szCs w:val="23"/>
        </w:rPr>
        <w:t xml:space="preserve"> be used to locate persons unless they have been included on a Watchlist.</w:t>
      </w:r>
    </w:p>
    <w:p w14:paraId="240942EA" w14:textId="77777777" w:rsidR="00E22208" w:rsidRDefault="00E22208" w:rsidP="009D15DA">
      <w:pPr>
        <w:pStyle w:val="Untitledsubclause2"/>
        <w:numPr>
          <w:ilvl w:val="2"/>
          <w:numId w:val="26"/>
        </w:numPr>
        <w:rPr>
          <w:sz w:val="23"/>
          <w:szCs w:val="23"/>
        </w:rPr>
      </w:pPr>
      <w:r w:rsidRPr="00E22208">
        <w:rPr>
          <w:sz w:val="23"/>
          <w:szCs w:val="23"/>
        </w:rPr>
        <w:t>The creation of any Watchlist is specific to the Deployment of LFR and informed by the intelligence case for the Deployment</w:t>
      </w:r>
    </w:p>
    <w:p w14:paraId="5C83BE28" w14:textId="77777777" w:rsidR="00E22208" w:rsidRDefault="00E22208" w:rsidP="009D15DA">
      <w:pPr>
        <w:pStyle w:val="Untitledsubclause2"/>
        <w:numPr>
          <w:ilvl w:val="2"/>
          <w:numId w:val="26"/>
        </w:numPr>
        <w:rPr>
          <w:sz w:val="23"/>
          <w:szCs w:val="23"/>
        </w:rPr>
      </w:pPr>
      <w:r w:rsidRPr="00E22208">
        <w:rPr>
          <w:sz w:val="23"/>
          <w:szCs w:val="23"/>
        </w:rPr>
        <w:t xml:space="preserve">Images on a Watchlist will be lawfully held </w:t>
      </w:r>
      <w:r>
        <w:rPr>
          <w:sz w:val="23"/>
          <w:szCs w:val="23"/>
        </w:rPr>
        <w:t>by Cumbria Constabulary</w:t>
      </w:r>
      <w:r w:rsidRPr="00E22208">
        <w:rPr>
          <w:sz w:val="23"/>
          <w:szCs w:val="23"/>
        </w:rPr>
        <w:t xml:space="preserve"> with reasonable steps being taken to ensure that the image is of a person intended for inclusion on a given Watchlist.</w:t>
      </w:r>
    </w:p>
    <w:p w14:paraId="154D79AC" w14:textId="77777777" w:rsidR="00E22208" w:rsidRDefault="00E22208" w:rsidP="009D15DA">
      <w:pPr>
        <w:pStyle w:val="Untitledsubclause2"/>
        <w:numPr>
          <w:ilvl w:val="2"/>
          <w:numId w:val="26"/>
        </w:numPr>
        <w:rPr>
          <w:sz w:val="23"/>
          <w:szCs w:val="23"/>
        </w:rPr>
      </w:pPr>
      <w:r w:rsidRPr="00E22208">
        <w:rPr>
          <w:sz w:val="23"/>
          <w:szCs w:val="23"/>
        </w:rPr>
        <w:t xml:space="preserve">Authorising Officers need to expressly consider and approve the use of non-police originated images on any Watchlist. This is because </w:t>
      </w:r>
      <w:proofErr w:type="gramStart"/>
      <w:r w:rsidRPr="00E22208">
        <w:rPr>
          <w:sz w:val="23"/>
          <w:szCs w:val="23"/>
        </w:rPr>
        <w:t>particular privacy</w:t>
      </w:r>
      <w:proofErr w:type="gramEnd"/>
      <w:r w:rsidRPr="00E22208">
        <w:rPr>
          <w:sz w:val="23"/>
          <w:szCs w:val="23"/>
        </w:rPr>
        <w:t xml:space="preserve"> considerations may attach to an image where it originates from outside of a policing context.</w:t>
      </w:r>
    </w:p>
    <w:p w14:paraId="524F575E" w14:textId="6AAC303C" w:rsidR="00920706" w:rsidRDefault="00E22208" w:rsidP="009D15DA">
      <w:pPr>
        <w:pStyle w:val="Untitledsubclause2"/>
        <w:numPr>
          <w:ilvl w:val="2"/>
          <w:numId w:val="26"/>
        </w:numPr>
        <w:rPr>
          <w:sz w:val="23"/>
          <w:szCs w:val="23"/>
        </w:rPr>
      </w:pPr>
      <w:r w:rsidRPr="00E22208">
        <w:rPr>
          <w:sz w:val="23"/>
          <w:szCs w:val="23"/>
        </w:rPr>
        <w:t xml:space="preserve">On adding an image to the Watchlist the LFR system will assess the image for quality and suitability for matching </w:t>
      </w:r>
      <w:proofErr w:type="gramStart"/>
      <w:r w:rsidRPr="00E22208">
        <w:rPr>
          <w:sz w:val="23"/>
          <w:szCs w:val="23"/>
        </w:rPr>
        <w:t>in order to</w:t>
      </w:r>
      <w:proofErr w:type="gramEnd"/>
      <w:r w:rsidRPr="00E22208">
        <w:rPr>
          <w:sz w:val="23"/>
          <w:szCs w:val="23"/>
        </w:rPr>
        <w:t xml:space="preserve"> allow personnel to consider and manage the risk of poor-quality images generating inaccurate LFR Alerts.</w:t>
      </w:r>
    </w:p>
    <w:p w14:paraId="4C11CD9F" w14:textId="77777777" w:rsidR="00920706" w:rsidRDefault="00E22208" w:rsidP="009D15DA">
      <w:pPr>
        <w:pStyle w:val="Untitledsubclause2"/>
        <w:numPr>
          <w:ilvl w:val="2"/>
          <w:numId w:val="26"/>
        </w:numPr>
        <w:rPr>
          <w:sz w:val="23"/>
          <w:szCs w:val="23"/>
        </w:rPr>
      </w:pPr>
      <w:r w:rsidRPr="00E22208">
        <w:rPr>
          <w:sz w:val="23"/>
          <w:szCs w:val="23"/>
        </w:rPr>
        <w:t>All Watchlists are deleted as soon as practicable, and in any case within 24 hours following the conclusion of the Deployment.</w:t>
      </w:r>
    </w:p>
    <w:p w14:paraId="149A82DC" w14:textId="77777777" w:rsidR="00920706" w:rsidRDefault="00E22208" w:rsidP="009D15DA">
      <w:pPr>
        <w:pStyle w:val="Untitledsubclause2"/>
        <w:numPr>
          <w:ilvl w:val="2"/>
          <w:numId w:val="26"/>
        </w:numPr>
        <w:rPr>
          <w:sz w:val="23"/>
          <w:szCs w:val="23"/>
        </w:rPr>
      </w:pPr>
      <w:r w:rsidRPr="00E22208">
        <w:rPr>
          <w:sz w:val="23"/>
          <w:szCs w:val="23"/>
        </w:rPr>
        <w:t>The cameras used in the LFR system are of sufficient quality for the LFR system’s needs.</w:t>
      </w:r>
    </w:p>
    <w:p w14:paraId="6DAE007E" w14:textId="77777777" w:rsidR="00920706" w:rsidRDefault="00E22208" w:rsidP="009D15DA">
      <w:pPr>
        <w:pStyle w:val="Untitledsubclause2"/>
        <w:numPr>
          <w:ilvl w:val="2"/>
          <w:numId w:val="26"/>
        </w:numPr>
        <w:rPr>
          <w:sz w:val="23"/>
          <w:szCs w:val="23"/>
        </w:rPr>
      </w:pPr>
      <w:r w:rsidRPr="00E22208">
        <w:rPr>
          <w:sz w:val="23"/>
          <w:szCs w:val="23"/>
        </w:rPr>
        <w:t>The LFR system is ‘closed’ and not connected to other systems or the internet.</w:t>
      </w:r>
    </w:p>
    <w:p w14:paraId="256D9790" w14:textId="77777777" w:rsidR="00920706" w:rsidRDefault="00E22208" w:rsidP="009D15DA">
      <w:pPr>
        <w:pStyle w:val="Untitledsubclause2"/>
        <w:numPr>
          <w:ilvl w:val="2"/>
          <w:numId w:val="26"/>
        </w:numPr>
        <w:rPr>
          <w:sz w:val="23"/>
          <w:szCs w:val="23"/>
        </w:rPr>
      </w:pPr>
      <w:r w:rsidRPr="00E22208">
        <w:rPr>
          <w:sz w:val="23"/>
          <w:szCs w:val="23"/>
        </w:rPr>
        <w:t>LFR Deployments and the materials that support LFR Deployments will be subject to periodic review to ensure that the LFR system and its operation remains necessary, proportionate and effective in terms of meeting its use case.</w:t>
      </w:r>
    </w:p>
    <w:p w14:paraId="384BAA6D" w14:textId="03FCF5D8" w:rsidR="00920706" w:rsidRDefault="00920706" w:rsidP="009D33F7">
      <w:pPr>
        <w:pStyle w:val="Untitledsubclause1"/>
        <w:rPr>
          <w:sz w:val="23"/>
          <w:szCs w:val="23"/>
        </w:rPr>
      </w:pPr>
      <w:r>
        <w:rPr>
          <w:sz w:val="23"/>
          <w:szCs w:val="23"/>
        </w:rPr>
        <w:lastRenderedPageBreak/>
        <w:t>From a compliance perspective, c</w:t>
      </w:r>
      <w:r w:rsidR="00E22208" w:rsidRPr="00E22208">
        <w:rPr>
          <w:sz w:val="23"/>
          <w:szCs w:val="23"/>
        </w:rPr>
        <w:t xml:space="preserve">ontrols </w:t>
      </w:r>
      <w:r>
        <w:rPr>
          <w:sz w:val="23"/>
          <w:szCs w:val="23"/>
        </w:rPr>
        <w:t>should be</w:t>
      </w:r>
      <w:r w:rsidR="00E22208" w:rsidRPr="00E22208">
        <w:rPr>
          <w:sz w:val="23"/>
          <w:szCs w:val="23"/>
        </w:rPr>
        <w:t xml:space="preserve"> implemented with regards to personal data retention to minimise the impact on the wider public and those on the Watchlist. </w:t>
      </w:r>
      <w:r>
        <w:rPr>
          <w:sz w:val="23"/>
          <w:szCs w:val="23"/>
        </w:rPr>
        <w:t>Such</w:t>
      </w:r>
      <w:r w:rsidR="00E22208" w:rsidRPr="00E22208">
        <w:rPr>
          <w:sz w:val="23"/>
          <w:szCs w:val="23"/>
        </w:rPr>
        <w:t xml:space="preserve"> controls </w:t>
      </w:r>
      <w:r>
        <w:rPr>
          <w:sz w:val="23"/>
          <w:szCs w:val="23"/>
        </w:rPr>
        <w:t xml:space="preserve">should </w:t>
      </w:r>
      <w:r w:rsidR="00E22208" w:rsidRPr="00E22208">
        <w:rPr>
          <w:sz w:val="23"/>
          <w:szCs w:val="23"/>
        </w:rPr>
        <w:t>provide that:</w:t>
      </w:r>
    </w:p>
    <w:p w14:paraId="3EEE52A3" w14:textId="453C9561" w:rsidR="00920706" w:rsidRDefault="00920706" w:rsidP="009D15DA">
      <w:pPr>
        <w:pStyle w:val="Untitledsubclause2"/>
        <w:numPr>
          <w:ilvl w:val="2"/>
          <w:numId w:val="26"/>
        </w:numPr>
        <w:rPr>
          <w:sz w:val="23"/>
          <w:szCs w:val="23"/>
        </w:rPr>
      </w:pPr>
      <w:r>
        <w:rPr>
          <w:sz w:val="23"/>
          <w:szCs w:val="23"/>
        </w:rPr>
        <w:t>W</w:t>
      </w:r>
      <w:r w:rsidR="00E22208" w:rsidRPr="00E22208">
        <w:rPr>
          <w:sz w:val="23"/>
          <w:szCs w:val="23"/>
        </w:rPr>
        <w:t>here the LFR system does not generate an Alert, then a person’s biometric data is immediately automatically deleted</w:t>
      </w:r>
      <w:r>
        <w:rPr>
          <w:sz w:val="23"/>
          <w:szCs w:val="23"/>
        </w:rPr>
        <w:t>.</w:t>
      </w:r>
    </w:p>
    <w:p w14:paraId="50A4E6D7" w14:textId="45890D79" w:rsidR="00920706" w:rsidRDefault="00920706" w:rsidP="009D15DA">
      <w:pPr>
        <w:pStyle w:val="Untitledsubclause2"/>
        <w:numPr>
          <w:ilvl w:val="2"/>
          <w:numId w:val="26"/>
        </w:numPr>
        <w:rPr>
          <w:sz w:val="23"/>
          <w:szCs w:val="23"/>
        </w:rPr>
      </w:pPr>
      <w:r>
        <w:rPr>
          <w:sz w:val="23"/>
          <w:szCs w:val="23"/>
        </w:rPr>
        <w:t>T</w:t>
      </w:r>
      <w:r w:rsidR="00E22208" w:rsidRPr="00E22208">
        <w:rPr>
          <w:sz w:val="23"/>
          <w:szCs w:val="23"/>
        </w:rPr>
        <w:t>he data held used to import a Watchlist is deleted as soon as practicable, and in any case within 24 hours following the conclusion of the Deployment.</w:t>
      </w:r>
    </w:p>
    <w:p w14:paraId="38AEABB2" w14:textId="77777777" w:rsidR="00920706" w:rsidRDefault="00920706" w:rsidP="009D15DA">
      <w:pPr>
        <w:pStyle w:val="Untitledsubclause2"/>
        <w:numPr>
          <w:ilvl w:val="2"/>
          <w:numId w:val="26"/>
        </w:numPr>
        <w:rPr>
          <w:sz w:val="23"/>
          <w:szCs w:val="23"/>
        </w:rPr>
      </w:pPr>
      <w:r>
        <w:rPr>
          <w:sz w:val="23"/>
          <w:szCs w:val="23"/>
        </w:rPr>
        <w:t>W</w:t>
      </w:r>
      <w:r w:rsidR="00E22208" w:rsidRPr="00E22208">
        <w:rPr>
          <w:sz w:val="23"/>
          <w:szCs w:val="23"/>
        </w:rPr>
        <w:t>atchlists are deleted as soon as practicable, and in any case within 24 hours following the conclusion of the Deployment.</w:t>
      </w:r>
    </w:p>
    <w:p w14:paraId="4D12BA0E" w14:textId="60899A1F" w:rsidR="00E22208" w:rsidRDefault="00920706" w:rsidP="009D15DA">
      <w:pPr>
        <w:pStyle w:val="Untitledsubclause2"/>
        <w:numPr>
          <w:ilvl w:val="2"/>
          <w:numId w:val="26"/>
        </w:numPr>
        <w:rPr>
          <w:sz w:val="23"/>
          <w:szCs w:val="23"/>
        </w:rPr>
      </w:pPr>
      <w:r>
        <w:rPr>
          <w:sz w:val="23"/>
          <w:szCs w:val="23"/>
        </w:rPr>
        <w:t>W</w:t>
      </w:r>
      <w:r w:rsidR="00E22208" w:rsidRPr="00E22208">
        <w:rPr>
          <w:sz w:val="23"/>
          <w:szCs w:val="23"/>
        </w:rPr>
        <w:t xml:space="preserve">here the LFR system generates an </w:t>
      </w:r>
      <w:proofErr w:type="gramStart"/>
      <w:r w:rsidR="00E22208" w:rsidRPr="00E22208">
        <w:rPr>
          <w:sz w:val="23"/>
          <w:szCs w:val="23"/>
        </w:rPr>
        <w:t>Alert</w:t>
      </w:r>
      <w:proofErr w:type="gramEnd"/>
      <w:r w:rsidR="00E22208" w:rsidRPr="00E22208">
        <w:rPr>
          <w:sz w:val="23"/>
          <w:szCs w:val="23"/>
        </w:rPr>
        <w:t xml:space="preserve"> all personal data is deleted as soon as practicable and in any case within 24 hours following the conclusion of the Deployment.</w:t>
      </w:r>
    </w:p>
    <w:p w14:paraId="72CA9FA8" w14:textId="41D4E04E" w:rsidR="00920706" w:rsidRDefault="00920706" w:rsidP="00920706">
      <w:pPr>
        <w:pStyle w:val="Untitledsubclause1"/>
        <w:rPr>
          <w:sz w:val="23"/>
          <w:szCs w:val="23"/>
        </w:rPr>
      </w:pPr>
      <w:r w:rsidRPr="00920706">
        <w:rPr>
          <w:sz w:val="23"/>
          <w:szCs w:val="23"/>
        </w:rPr>
        <w:t xml:space="preserve">All CCTV footage generated from LFR Deployments is deleted within 31 days, except </w:t>
      </w:r>
      <w:proofErr w:type="gramStart"/>
      <w:r w:rsidRPr="00920706">
        <w:rPr>
          <w:sz w:val="23"/>
          <w:szCs w:val="23"/>
        </w:rPr>
        <w:t>where</w:t>
      </w:r>
      <w:proofErr w:type="gramEnd"/>
      <w:r w:rsidRPr="00920706">
        <w:rPr>
          <w:sz w:val="23"/>
          <w:szCs w:val="23"/>
        </w:rPr>
        <w:t xml:space="preserve"> retained</w:t>
      </w:r>
      <w:r>
        <w:rPr>
          <w:sz w:val="23"/>
          <w:szCs w:val="23"/>
        </w:rPr>
        <w:t xml:space="preserve"> in </w:t>
      </w:r>
      <w:r w:rsidRPr="00920706">
        <w:rPr>
          <w:sz w:val="23"/>
          <w:szCs w:val="23"/>
        </w:rPr>
        <w:t xml:space="preserve">accordance with the Data Protection Act 2018, MOPI and the Criminal Procedures and Investigations Act 1996; and/or in accordance with the </w:t>
      </w:r>
      <w:r>
        <w:rPr>
          <w:sz w:val="23"/>
          <w:szCs w:val="23"/>
        </w:rPr>
        <w:t xml:space="preserve">Cumbria Constabulary’s </w:t>
      </w:r>
      <w:r w:rsidRPr="00920706">
        <w:rPr>
          <w:sz w:val="23"/>
          <w:szCs w:val="23"/>
        </w:rPr>
        <w:t>policies</w:t>
      </w:r>
      <w:r>
        <w:rPr>
          <w:sz w:val="23"/>
          <w:szCs w:val="23"/>
        </w:rPr>
        <w:t>.</w:t>
      </w:r>
    </w:p>
    <w:p w14:paraId="7D413259" w14:textId="5407B2C1" w:rsidR="00920706" w:rsidRDefault="00920706" w:rsidP="00920706">
      <w:pPr>
        <w:pStyle w:val="Untitledsubclause1"/>
        <w:rPr>
          <w:sz w:val="23"/>
          <w:szCs w:val="23"/>
        </w:rPr>
      </w:pPr>
      <w:r w:rsidRPr="00920706">
        <w:rPr>
          <w:sz w:val="23"/>
          <w:szCs w:val="23"/>
        </w:rPr>
        <w:t xml:space="preserve">Authorising Officers should also consider if a proposed Deployment location attracts </w:t>
      </w:r>
      <w:proofErr w:type="gramStart"/>
      <w:r w:rsidRPr="00920706">
        <w:rPr>
          <w:sz w:val="23"/>
          <w:szCs w:val="23"/>
        </w:rPr>
        <w:t>particular privacy</w:t>
      </w:r>
      <w:proofErr w:type="gramEnd"/>
      <w:r w:rsidRPr="00920706">
        <w:rPr>
          <w:sz w:val="23"/>
          <w:szCs w:val="23"/>
        </w:rPr>
        <w:t xml:space="preserve"> concerns by reference to those expected to be at a particular location</w:t>
      </w:r>
      <w:r w:rsidR="00F63EB8">
        <w:rPr>
          <w:sz w:val="23"/>
          <w:szCs w:val="23"/>
        </w:rPr>
        <w:t xml:space="preserve"> and whether mitigations can be put in place.</w:t>
      </w:r>
    </w:p>
    <w:p w14:paraId="25B716CB" w14:textId="705F0D2D" w:rsidR="00F63EB8" w:rsidRPr="00F63EB8" w:rsidRDefault="00F63EB8" w:rsidP="00F63EB8">
      <w:pPr>
        <w:pStyle w:val="Untitledsubclause1"/>
        <w:numPr>
          <w:ilvl w:val="0"/>
          <w:numId w:val="0"/>
        </w:numPr>
        <w:ind w:left="720"/>
        <w:rPr>
          <w:b/>
          <w:bCs/>
          <w:sz w:val="23"/>
          <w:szCs w:val="23"/>
          <w:u w:val="single"/>
        </w:rPr>
      </w:pPr>
      <w:r w:rsidRPr="00F63EB8">
        <w:rPr>
          <w:b/>
          <w:bCs/>
          <w:sz w:val="23"/>
          <w:szCs w:val="23"/>
          <w:u w:val="single"/>
        </w:rPr>
        <w:t xml:space="preserve">Wider Human Rights Act </w:t>
      </w:r>
      <w:r w:rsidR="005C4C1B">
        <w:rPr>
          <w:b/>
          <w:bCs/>
          <w:sz w:val="23"/>
          <w:szCs w:val="23"/>
          <w:u w:val="single"/>
        </w:rPr>
        <w:t>c</w:t>
      </w:r>
      <w:r w:rsidRPr="00F63EB8">
        <w:rPr>
          <w:b/>
          <w:bCs/>
          <w:sz w:val="23"/>
          <w:szCs w:val="23"/>
          <w:u w:val="single"/>
        </w:rPr>
        <w:t>onsiderations</w:t>
      </w:r>
    </w:p>
    <w:p w14:paraId="477EDE8B" w14:textId="1A09FBF0" w:rsidR="00F63EB8" w:rsidRDefault="00F63EB8" w:rsidP="00F63EB8">
      <w:pPr>
        <w:pStyle w:val="Untitledsubclause1"/>
        <w:rPr>
          <w:sz w:val="23"/>
          <w:szCs w:val="23"/>
        </w:rPr>
      </w:pPr>
      <w:r>
        <w:rPr>
          <w:sz w:val="23"/>
          <w:szCs w:val="23"/>
        </w:rPr>
        <w:t>Whilst Article 8 has been the focus of much commentary and case law surrounding the use of LFR, there are additional rights pursuant to the Human Rights Act that should be considered in the context of LFR:</w:t>
      </w:r>
    </w:p>
    <w:p w14:paraId="4B0F969A" w14:textId="5A3D3CD8" w:rsidR="00F63EB8" w:rsidRPr="00F63EB8" w:rsidRDefault="00F63EB8" w:rsidP="00F63EB8">
      <w:pPr>
        <w:pStyle w:val="Untitledsubclause2"/>
        <w:rPr>
          <w:sz w:val="23"/>
          <w:szCs w:val="23"/>
        </w:rPr>
      </w:pPr>
      <w:r w:rsidRPr="00F63EB8">
        <w:rPr>
          <w:b/>
          <w:bCs/>
          <w:sz w:val="23"/>
          <w:szCs w:val="23"/>
        </w:rPr>
        <w:t>Article 9</w:t>
      </w:r>
      <w:r w:rsidRPr="00F63EB8">
        <w:rPr>
          <w:sz w:val="23"/>
          <w:szCs w:val="23"/>
        </w:rPr>
        <w:t xml:space="preserve">: </w:t>
      </w:r>
      <w:r w:rsidRPr="00F63EB8">
        <w:rPr>
          <w:i/>
          <w:iCs/>
          <w:sz w:val="23"/>
          <w:szCs w:val="23"/>
        </w:rPr>
        <w:t>“Everyone has the right to freedom of thought, conscience and religion; this right includes freedom to change his religion or belief and freedom, either alone or in community with others and in public or private, to manifest his religion or belief in worship, teaching practice and observance.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14:paraId="784AE48E" w14:textId="4BA744B2" w:rsidR="00F63EB8" w:rsidRDefault="00F63EB8" w:rsidP="00F63EB8">
      <w:pPr>
        <w:pStyle w:val="Untitledsubclause2"/>
        <w:numPr>
          <w:ilvl w:val="0"/>
          <w:numId w:val="0"/>
        </w:numPr>
        <w:ind w:left="1555"/>
        <w:rPr>
          <w:sz w:val="23"/>
          <w:szCs w:val="23"/>
        </w:rPr>
      </w:pPr>
      <w:r w:rsidRPr="00F63EB8">
        <w:rPr>
          <w:sz w:val="23"/>
          <w:szCs w:val="23"/>
        </w:rPr>
        <w:t>Interference with an individual</w:t>
      </w:r>
      <w:r w:rsidR="00032CEA">
        <w:rPr>
          <w:sz w:val="23"/>
          <w:szCs w:val="23"/>
        </w:rPr>
        <w:t>’s</w:t>
      </w:r>
      <w:r w:rsidRPr="00F63EB8">
        <w:rPr>
          <w:sz w:val="23"/>
          <w:szCs w:val="23"/>
        </w:rPr>
        <w:t xml:space="preserve"> Article 9 rights</w:t>
      </w:r>
      <w:r>
        <w:rPr>
          <w:sz w:val="23"/>
          <w:szCs w:val="23"/>
        </w:rPr>
        <w:t xml:space="preserve"> is only permissible, again, if the criteria outlined in Paragraph </w:t>
      </w:r>
      <w:r>
        <w:rPr>
          <w:sz w:val="23"/>
          <w:szCs w:val="23"/>
        </w:rPr>
        <w:fldChar w:fldCharType="begin"/>
      </w:r>
      <w:r>
        <w:rPr>
          <w:sz w:val="23"/>
          <w:szCs w:val="23"/>
        </w:rPr>
        <w:instrText xml:space="preserve"> REF _Ref219811751 \r \h </w:instrText>
      </w:r>
      <w:r>
        <w:rPr>
          <w:sz w:val="23"/>
          <w:szCs w:val="23"/>
        </w:rPr>
      </w:r>
      <w:r>
        <w:rPr>
          <w:sz w:val="23"/>
          <w:szCs w:val="23"/>
        </w:rPr>
        <w:fldChar w:fldCharType="separate"/>
      </w:r>
      <w:r w:rsidR="00324C09">
        <w:rPr>
          <w:sz w:val="23"/>
          <w:szCs w:val="23"/>
        </w:rPr>
        <w:t>3.2</w:t>
      </w:r>
      <w:r>
        <w:rPr>
          <w:sz w:val="23"/>
          <w:szCs w:val="23"/>
        </w:rPr>
        <w:fldChar w:fldCharType="end"/>
      </w:r>
      <w:r w:rsidR="0062243A">
        <w:rPr>
          <w:sz w:val="23"/>
          <w:szCs w:val="23"/>
        </w:rPr>
        <w:t xml:space="preserve"> (above)</w:t>
      </w:r>
      <w:r>
        <w:rPr>
          <w:sz w:val="23"/>
          <w:szCs w:val="23"/>
        </w:rPr>
        <w:t xml:space="preserve"> is met. </w:t>
      </w:r>
      <w:r w:rsidRPr="00F63EB8">
        <w:rPr>
          <w:sz w:val="23"/>
          <w:szCs w:val="23"/>
        </w:rPr>
        <w:t xml:space="preserve">In the context of Article 9, the </w:t>
      </w:r>
      <w:r>
        <w:rPr>
          <w:sz w:val="23"/>
          <w:szCs w:val="23"/>
        </w:rPr>
        <w:t>Authorising Officers</w:t>
      </w:r>
      <w:r w:rsidRPr="00F63EB8">
        <w:rPr>
          <w:sz w:val="23"/>
          <w:szCs w:val="23"/>
        </w:rPr>
        <w:t xml:space="preserve"> should be particularly mindful of the location of the proposed deployment. For instance, if LFR is deployed outside of a place of </w:t>
      </w:r>
      <w:r w:rsidRPr="00F63EB8">
        <w:rPr>
          <w:sz w:val="23"/>
          <w:szCs w:val="23"/>
        </w:rPr>
        <w:lastRenderedPageBreak/>
        <w:t>worship, this may have a chilling effect on the willingness of individuals to attend that place for the purposes of manifesting their religious beliefs</w:t>
      </w:r>
      <w:r>
        <w:rPr>
          <w:sz w:val="23"/>
          <w:szCs w:val="23"/>
        </w:rPr>
        <w:t xml:space="preserve">. On such subject, </w:t>
      </w:r>
      <w:proofErr w:type="gramStart"/>
      <w:r w:rsidRPr="00F63EB8">
        <w:rPr>
          <w:sz w:val="23"/>
          <w:szCs w:val="23"/>
        </w:rPr>
        <w:t>There</w:t>
      </w:r>
      <w:proofErr w:type="gramEnd"/>
      <w:r w:rsidRPr="00F63EB8">
        <w:rPr>
          <w:sz w:val="23"/>
          <w:szCs w:val="23"/>
        </w:rPr>
        <w:t xml:space="preserve"> is no LFR-specific power to require those passing the LFR system to remove </w:t>
      </w:r>
      <w:proofErr w:type="gramStart"/>
      <w:r w:rsidRPr="00F63EB8">
        <w:rPr>
          <w:sz w:val="23"/>
          <w:szCs w:val="23"/>
        </w:rPr>
        <w:t>head-wear</w:t>
      </w:r>
      <w:proofErr w:type="gramEnd"/>
      <w:r w:rsidRPr="00F63EB8">
        <w:rPr>
          <w:sz w:val="23"/>
          <w:szCs w:val="23"/>
        </w:rPr>
        <w:t xml:space="preserve"> or uncover their face. In the normal course of events, individuals are entitled to keep their face covered whilst passing the LFR system</w:t>
      </w:r>
      <w:r>
        <w:rPr>
          <w:sz w:val="23"/>
          <w:szCs w:val="23"/>
        </w:rPr>
        <w:t>.</w:t>
      </w:r>
      <w:r>
        <w:rPr>
          <w:rStyle w:val="FootnoteReference"/>
          <w:sz w:val="23"/>
          <w:szCs w:val="23"/>
        </w:rPr>
        <w:footnoteReference w:id="24"/>
      </w:r>
    </w:p>
    <w:p w14:paraId="6F1E46DB" w14:textId="62F564C8" w:rsidR="00F63EB8" w:rsidRPr="00F63EB8" w:rsidRDefault="00F63EB8" w:rsidP="00F63EB8">
      <w:pPr>
        <w:pStyle w:val="Untitledsubclause2"/>
        <w:rPr>
          <w:b/>
          <w:bCs/>
          <w:sz w:val="23"/>
          <w:szCs w:val="23"/>
        </w:rPr>
      </w:pPr>
      <w:r w:rsidRPr="00F63EB8">
        <w:rPr>
          <w:b/>
          <w:bCs/>
          <w:sz w:val="23"/>
          <w:szCs w:val="23"/>
        </w:rPr>
        <w:t>Article 10</w:t>
      </w:r>
      <w:r w:rsidRPr="00061278">
        <w:rPr>
          <w:sz w:val="23"/>
          <w:szCs w:val="23"/>
        </w:rPr>
        <w:t>:</w:t>
      </w:r>
      <w:r>
        <w:rPr>
          <w:b/>
          <w:bCs/>
          <w:sz w:val="23"/>
          <w:szCs w:val="23"/>
        </w:rPr>
        <w:t xml:space="preserve"> </w:t>
      </w:r>
      <w:r w:rsidRPr="00F63EB8">
        <w:rPr>
          <w:i/>
          <w:iCs/>
          <w:sz w:val="23"/>
          <w:szCs w:val="23"/>
        </w:rPr>
        <w:t>“Everyone has the right to freedom of expression. This right shall include freedom to hold opinions and to receive and impart information and ideas without interference by public authority and regardless of frontiers. This Article shall not prevent States from requiring the licensing of broadcasting, television or cinema enterprises. The exercise of these freedoms, since it carries with it duties and responsibilities, may be subject to such formalities, conditions, restrictions or penalties as are prescribed by law and are necessary in a democratic society, in the interests of national security, territorial disorder or crime, for the protection of health or morals, for the protection of the reputation or rights of others, for preventing the disclosure of information received in confidence, or for maintaining the authority and impartiality of the judiciary.”</w:t>
      </w:r>
    </w:p>
    <w:p w14:paraId="3BBECB5A" w14:textId="2C9D4AB5" w:rsidR="00F63EB8" w:rsidRDefault="00F63EB8" w:rsidP="00F63EB8">
      <w:pPr>
        <w:pStyle w:val="Untitledsubclause2"/>
        <w:rPr>
          <w:i/>
          <w:iCs/>
          <w:sz w:val="23"/>
          <w:szCs w:val="23"/>
        </w:rPr>
      </w:pPr>
      <w:r w:rsidRPr="00A7144E">
        <w:rPr>
          <w:b/>
          <w:bCs/>
          <w:sz w:val="23"/>
          <w:szCs w:val="23"/>
        </w:rPr>
        <w:t>Article</w:t>
      </w:r>
      <w:r>
        <w:rPr>
          <w:b/>
          <w:bCs/>
          <w:sz w:val="23"/>
          <w:szCs w:val="23"/>
        </w:rPr>
        <w:t xml:space="preserve"> 11</w:t>
      </w:r>
      <w:r w:rsidRPr="00061278">
        <w:rPr>
          <w:sz w:val="23"/>
          <w:szCs w:val="23"/>
        </w:rPr>
        <w:t>:</w:t>
      </w:r>
      <w:r>
        <w:rPr>
          <w:b/>
          <w:bCs/>
          <w:sz w:val="23"/>
          <w:szCs w:val="23"/>
        </w:rPr>
        <w:t xml:space="preserve"> </w:t>
      </w:r>
      <w:r w:rsidRPr="00F63EB8">
        <w:rPr>
          <w:i/>
          <w:iCs/>
          <w:sz w:val="23"/>
          <w:szCs w:val="23"/>
        </w:rPr>
        <w:t>“Everyone has the right to freedom of peaceful assembly and to freedom of association with others, including the right to form and to join trade unions for the protection of his interests. No restrictions shall be placed on the exercise of these rights other than such as are prescribed by law and are necessary in a democratic society in the interests of national security or public safety, for the prevention of disorder or crime, for the protection of health or morals or for the protection of the rights and freedoms of others. This article shall not prevent the imposition of lawful restrictions on the exercise of these rights by members of the armed forces, of the police or of the administration of the state.”</w:t>
      </w:r>
    </w:p>
    <w:p w14:paraId="3FC55201" w14:textId="2351F9BF" w:rsidR="00F63EB8" w:rsidRDefault="00032CEA" w:rsidP="00032CEA">
      <w:pPr>
        <w:pStyle w:val="Untitledsubclause2"/>
        <w:numPr>
          <w:ilvl w:val="0"/>
          <w:numId w:val="0"/>
        </w:numPr>
        <w:ind w:left="1555"/>
        <w:rPr>
          <w:sz w:val="23"/>
          <w:szCs w:val="23"/>
        </w:rPr>
      </w:pPr>
      <w:r w:rsidRPr="00F63EB8">
        <w:rPr>
          <w:sz w:val="23"/>
          <w:szCs w:val="23"/>
        </w:rPr>
        <w:t>Interference with an individual</w:t>
      </w:r>
      <w:r>
        <w:rPr>
          <w:sz w:val="23"/>
          <w:szCs w:val="23"/>
        </w:rPr>
        <w:t>’s</w:t>
      </w:r>
      <w:r w:rsidRPr="00F63EB8">
        <w:rPr>
          <w:sz w:val="23"/>
          <w:szCs w:val="23"/>
        </w:rPr>
        <w:t xml:space="preserve"> Article</w:t>
      </w:r>
      <w:r>
        <w:rPr>
          <w:sz w:val="23"/>
          <w:szCs w:val="23"/>
        </w:rPr>
        <w:t>s 10 and 11</w:t>
      </w:r>
      <w:r w:rsidRPr="00F63EB8">
        <w:rPr>
          <w:sz w:val="23"/>
          <w:szCs w:val="23"/>
        </w:rPr>
        <w:t xml:space="preserve"> right</w:t>
      </w:r>
      <w:r>
        <w:rPr>
          <w:sz w:val="23"/>
          <w:szCs w:val="23"/>
        </w:rPr>
        <w:t xml:space="preserve">s are only permissible, again, if the criteria outlined in Paragraph </w:t>
      </w:r>
      <w:r>
        <w:rPr>
          <w:sz w:val="23"/>
          <w:szCs w:val="23"/>
        </w:rPr>
        <w:fldChar w:fldCharType="begin"/>
      </w:r>
      <w:r>
        <w:rPr>
          <w:sz w:val="23"/>
          <w:szCs w:val="23"/>
        </w:rPr>
        <w:instrText xml:space="preserve"> REF _Ref219811751 \r \h </w:instrText>
      </w:r>
      <w:r>
        <w:rPr>
          <w:sz w:val="23"/>
          <w:szCs w:val="23"/>
        </w:rPr>
      </w:r>
      <w:r>
        <w:rPr>
          <w:sz w:val="23"/>
          <w:szCs w:val="23"/>
        </w:rPr>
        <w:fldChar w:fldCharType="separate"/>
      </w:r>
      <w:r w:rsidR="0062243A">
        <w:rPr>
          <w:sz w:val="23"/>
          <w:szCs w:val="23"/>
        </w:rPr>
        <w:t>3.2</w:t>
      </w:r>
      <w:r>
        <w:rPr>
          <w:sz w:val="23"/>
          <w:szCs w:val="23"/>
        </w:rPr>
        <w:fldChar w:fldCharType="end"/>
      </w:r>
      <w:r>
        <w:rPr>
          <w:sz w:val="23"/>
          <w:szCs w:val="23"/>
        </w:rPr>
        <w:t xml:space="preserve"> </w:t>
      </w:r>
      <w:r w:rsidR="0062243A">
        <w:rPr>
          <w:sz w:val="23"/>
          <w:szCs w:val="23"/>
        </w:rPr>
        <w:t xml:space="preserve">(above) </w:t>
      </w:r>
      <w:r>
        <w:rPr>
          <w:sz w:val="23"/>
          <w:szCs w:val="23"/>
        </w:rPr>
        <w:t xml:space="preserve">is met. </w:t>
      </w:r>
      <w:r w:rsidRPr="00F63EB8">
        <w:rPr>
          <w:sz w:val="23"/>
          <w:szCs w:val="23"/>
        </w:rPr>
        <w:t>In the context of Article</w:t>
      </w:r>
      <w:r>
        <w:rPr>
          <w:sz w:val="23"/>
          <w:szCs w:val="23"/>
        </w:rPr>
        <w:t>s 10 and 11, consideration should be drawn in circumstances involving policing protests, demonstrations or other types of assembly. Authorising Officers</w:t>
      </w:r>
      <w:r w:rsidRPr="00032CEA">
        <w:rPr>
          <w:sz w:val="23"/>
          <w:szCs w:val="23"/>
        </w:rPr>
        <w:t xml:space="preserve"> should have regard to the risk that </w:t>
      </w:r>
      <w:r>
        <w:rPr>
          <w:sz w:val="23"/>
          <w:szCs w:val="23"/>
        </w:rPr>
        <w:t>D</w:t>
      </w:r>
      <w:r w:rsidRPr="00032CEA">
        <w:rPr>
          <w:sz w:val="23"/>
          <w:szCs w:val="23"/>
        </w:rPr>
        <w:t>eployment will have a</w:t>
      </w:r>
      <w:r>
        <w:rPr>
          <w:sz w:val="23"/>
          <w:szCs w:val="23"/>
        </w:rPr>
        <w:t xml:space="preserve">n impact </w:t>
      </w:r>
      <w:r w:rsidRPr="00032CEA">
        <w:rPr>
          <w:sz w:val="23"/>
          <w:szCs w:val="23"/>
        </w:rPr>
        <w:t xml:space="preserve">on the willingness of some individuals to take part in a lawful assembly and express </w:t>
      </w:r>
      <w:r w:rsidR="005F0E87">
        <w:rPr>
          <w:sz w:val="23"/>
          <w:szCs w:val="23"/>
        </w:rPr>
        <w:t xml:space="preserve">associated </w:t>
      </w:r>
      <w:r w:rsidRPr="00032CEA">
        <w:rPr>
          <w:sz w:val="23"/>
          <w:szCs w:val="23"/>
        </w:rPr>
        <w:t>views</w:t>
      </w:r>
      <w:r>
        <w:rPr>
          <w:sz w:val="23"/>
          <w:szCs w:val="23"/>
        </w:rPr>
        <w:t>.</w:t>
      </w:r>
    </w:p>
    <w:p w14:paraId="78C85055" w14:textId="5E7596F6" w:rsidR="00A7144E" w:rsidRPr="00A7144E" w:rsidRDefault="00A7144E" w:rsidP="00A7144E">
      <w:pPr>
        <w:pStyle w:val="Untitledsubclause2"/>
        <w:rPr>
          <w:b/>
          <w:bCs/>
          <w:sz w:val="23"/>
          <w:szCs w:val="23"/>
        </w:rPr>
      </w:pPr>
      <w:r w:rsidRPr="00A7144E">
        <w:rPr>
          <w:b/>
          <w:bCs/>
          <w:sz w:val="23"/>
          <w:szCs w:val="23"/>
        </w:rPr>
        <w:t>Article 14</w:t>
      </w:r>
      <w:r w:rsidRPr="00061278">
        <w:rPr>
          <w:sz w:val="23"/>
          <w:szCs w:val="23"/>
        </w:rPr>
        <w:t>:</w:t>
      </w:r>
      <w:r w:rsidRPr="00A7144E">
        <w:rPr>
          <w:b/>
          <w:bCs/>
          <w:sz w:val="23"/>
          <w:szCs w:val="23"/>
        </w:rPr>
        <w:t xml:space="preserve"> </w:t>
      </w:r>
      <w:r w:rsidRPr="00A7144E">
        <w:rPr>
          <w:i/>
          <w:iCs/>
          <w:sz w:val="23"/>
          <w:szCs w:val="23"/>
        </w:rPr>
        <w:t xml:space="preserve">“The enjoyment of the rights and freedoms set forth in the European Convention on Human Rights and the Human Rights Act shall be secured without discrimination on any ground such as sex, race, colour, </w:t>
      </w:r>
      <w:r w:rsidRPr="00A7144E">
        <w:rPr>
          <w:i/>
          <w:iCs/>
          <w:sz w:val="23"/>
          <w:szCs w:val="23"/>
        </w:rPr>
        <w:lastRenderedPageBreak/>
        <w:t>language, religion, political or other opinion, national or social origin, association with a national minority, property, birth or other status.”</w:t>
      </w:r>
    </w:p>
    <w:p w14:paraId="78C868DE" w14:textId="5DCDAD5C" w:rsidR="00A7144E" w:rsidRDefault="00A7144E" w:rsidP="00A7144E">
      <w:pPr>
        <w:pStyle w:val="Untitledsubclause2"/>
        <w:numPr>
          <w:ilvl w:val="0"/>
          <w:numId w:val="0"/>
        </w:numPr>
        <w:ind w:left="1555"/>
        <w:rPr>
          <w:sz w:val="23"/>
          <w:szCs w:val="23"/>
        </w:rPr>
      </w:pPr>
      <w:r w:rsidRPr="00A7144E">
        <w:rPr>
          <w:sz w:val="23"/>
          <w:szCs w:val="23"/>
        </w:rPr>
        <w:t>Article 14 is not a standalone right but becomes relevant if an individual can show that discrimination has affected the enjoyment of one or more of their other Human Right(s), but not that such other Human Right(s) have been breached.</w:t>
      </w:r>
    </w:p>
    <w:p w14:paraId="5F5BB70F" w14:textId="7D95CB44" w:rsidR="00B2240A" w:rsidRDefault="00B2240A" w:rsidP="00B2240A">
      <w:pPr>
        <w:pStyle w:val="Untitledsubclause2"/>
        <w:rPr>
          <w:b/>
          <w:bCs/>
          <w:sz w:val="23"/>
          <w:szCs w:val="23"/>
        </w:rPr>
      </w:pPr>
      <w:r w:rsidRPr="00B2240A">
        <w:rPr>
          <w:b/>
          <w:bCs/>
          <w:sz w:val="23"/>
          <w:szCs w:val="23"/>
        </w:rPr>
        <w:t xml:space="preserve">Article 2: </w:t>
      </w:r>
      <w:r w:rsidR="00135524" w:rsidRPr="00135524">
        <w:rPr>
          <w:sz w:val="23"/>
          <w:szCs w:val="23"/>
        </w:rPr>
        <w:t>“</w:t>
      </w:r>
      <w:r w:rsidRPr="00B2240A">
        <w:rPr>
          <w:i/>
          <w:iCs/>
          <w:sz w:val="23"/>
          <w:szCs w:val="23"/>
        </w:rPr>
        <w:t xml:space="preserve">Everyone’s right to life shall be protected by law. No one shall be deprived of his life intentionally save in the execution of a sentence of a </w:t>
      </w:r>
      <w:r w:rsidR="00CF3A63">
        <w:rPr>
          <w:i/>
          <w:iCs/>
          <w:sz w:val="23"/>
          <w:szCs w:val="23"/>
        </w:rPr>
        <w:t>C</w:t>
      </w:r>
      <w:r w:rsidRPr="00B2240A">
        <w:rPr>
          <w:i/>
          <w:iCs/>
          <w:sz w:val="23"/>
          <w:szCs w:val="23"/>
        </w:rPr>
        <w:t>ourt following his conviction of a crime for which this penalty is provided by law. Deprivation of life shall not be regarded as inflicted in contravention of this Article when it results from the use of force which is no more than absolutely necessary: a) in defence of any person from unlawful violence; b) in order to effect a lawful arrest or to prevent the escape of a person lawfully detained; c) in action lawfully taken for the purpose of quelling a riot or insurrection</w:t>
      </w:r>
      <w:r w:rsidRPr="00B2240A">
        <w:rPr>
          <w:b/>
          <w:bCs/>
          <w:sz w:val="23"/>
          <w:szCs w:val="23"/>
        </w:rPr>
        <w:t>.</w:t>
      </w:r>
      <w:r>
        <w:rPr>
          <w:b/>
          <w:bCs/>
          <w:sz w:val="23"/>
          <w:szCs w:val="23"/>
        </w:rPr>
        <w:t>”</w:t>
      </w:r>
      <w:r w:rsidRPr="00B2240A">
        <w:rPr>
          <w:b/>
          <w:bCs/>
          <w:sz w:val="23"/>
          <w:szCs w:val="23"/>
        </w:rPr>
        <w:t xml:space="preserve"> </w:t>
      </w:r>
    </w:p>
    <w:p w14:paraId="0368374C" w14:textId="48221A67" w:rsidR="00B2240A" w:rsidRPr="00B2240A" w:rsidRDefault="00B2240A" w:rsidP="00B2240A">
      <w:pPr>
        <w:pStyle w:val="Untitledsubclause2"/>
        <w:rPr>
          <w:b/>
          <w:bCs/>
          <w:sz w:val="23"/>
          <w:szCs w:val="23"/>
        </w:rPr>
      </w:pPr>
      <w:r w:rsidRPr="00B2240A">
        <w:rPr>
          <w:b/>
          <w:bCs/>
          <w:sz w:val="23"/>
          <w:szCs w:val="23"/>
        </w:rPr>
        <w:t xml:space="preserve">Article 3: </w:t>
      </w:r>
      <w:r w:rsidRPr="00B2240A">
        <w:rPr>
          <w:i/>
          <w:iCs/>
          <w:sz w:val="23"/>
          <w:szCs w:val="23"/>
        </w:rPr>
        <w:t>No one shall be subjected to torture or to inhuman or degrading treatment or punishment.</w:t>
      </w:r>
    </w:p>
    <w:p w14:paraId="4EF123D1" w14:textId="4316C2BB" w:rsidR="00B2240A" w:rsidRPr="00B2240A" w:rsidRDefault="00B2240A" w:rsidP="00B2240A">
      <w:pPr>
        <w:pStyle w:val="Untitledsubclause2"/>
        <w:numPr>
          <w:ilvl w:val="0"/>
          <w:numId w:val="0"/>
        </w:numPr>
        <w:ind w:left="1555"/>
        <w:rPr>
          <w:sz w:val="23"/>
          <w:szCs w:val="23"/>
        </w:rPr>
      </w:pPr>
      <w:r w:rsidRPr="00B2240A">
        <w:rPr>
          <w:sz w:val="23"/>
          <w:szCs w:val="23"/>
        </w:rPr>
        <w:t>As absolute rights, there are no circumstances when a public body can interfere with the rights and freedoms afforded to individuals by way of Article 2 and Article 3. However, these articles can impose positive duties on the state to take action to prevent the public from harm.</w:t>
      </w:r>
      <w:r>
        <w:rPr>
          <w:sz w:val="23"/>
          <w:szCs w:val="23"/>
        </w:rPr>
        <w:t xml:space="preserve"> Case law from T</w:t>
      </w:r>
      <w:r w:rsidRPr="00B2240A">
        <w:rPr>
          <w:sz w:val="23"/>
          <w:szCs w:val="23"/>
        </w:rPr>
        <w:t xml:space="preserve">he European Court of Human Rights </w:t>
      </w:r>
      <w:r>
        <w:rPr>
          <w:sz w:val="23"/>
          <w:szCs w:val="23"/>
        </w:rPr>
        <w:t>ha</w:t>
      </w:r>
      <w:r w:rsidR="00E01783">
        <w:rPr>
          <w:sz w:val="23"/>
          <w:szCs w:val="23"/>
        </w:rPr>
        <w:t>s</w:t>
      </w:r>
      <w:r w:rsidRPr="00B2240A">
        <w:rPr>
          <w:sz w:val="23"/>
          <w:szCs w:val="23"/>
        </w:rPr>
        <w:t xml:space="preserve"> found that the police </w:t>
      </w:r>
      <w:r>
        <w:rPr>
          <w:sz w:val="23"/>
          <w:szCs w:val="23"/>
        </w:rPr>
        <w:t xml:space="preserve">are </w:t>
      </w:r>
      <w:r w:rsidRPr="00B2240A">
        <w:rPr>
          <w:sz w:val="23"/>
          <w:szCs w:val="23"/>
        </w:rPr>
        <w:t>under a positive duty to take reasonable measures to avert a real and immediate risk to the life of an identified individual or individuals of which the police were, or ought to have been aware.</w:t>
      </w:r>
      <w:r>
        <w:rPr>
          <w:rStyle w:val="FootnoteReference"/>
          <w:sz w:val="23"/>
          <w:szCs w:val="23"/>
        </w:rPr>
        <w:footnoteReference w:id="25"/>
      </w:r>
      <w:r w:rsidRPr="00B2240A">
        <w:rPr>
          <w:sz w:val="23"/>
          <w:szCs w:val="23"/>
        </w:rPr>
        <w:t xml:space="preserve"> Case law also supports that the police are under </w:t>
      </w:r>
      <w:r w:rsidR="00E01783">
        <w:rPr>
          <w:sz w:val="23"/>
          <w:szCs w:val="23"/>
        </w:rPr>
        <w:t>a</w:t>
      </w:r>
      <w:r w:rsidRPr="00B2240A">
        <w:rPr>
          <w:sz w:val="23"/>
          <w:szCs w:val="23"/>
        </w:rPr>
        <w:t xml:space="preserve"> duty to investigate serious allegations in a timely and efficient manner in order to uphold an individual’s Article 3 rights.</w:t>
      </w:r>
      <w:r w:rsidR="00E01783">
        <w:rPr>
          <w:rStyle w:val="FootnoteReference"/>
          <w:sz w:val="23"/>
          <w:szCs w:val="23"/>
        </w:rPr>
        <w:footnoteReference w:id="26"/>
      </w:r>
      <w:r w:rsidRPr="00B2240A">
        <w:rPr>
          <w:sz w:val="23"/>
          <w:szCs w:val="23"/>
        </w:rPr>
        <w:t xml:space="preserve"> There may be circumstances in which LFR is part of the means by which </w:t>
      </w:r>
      <w:r w:rsidR="00E01783">
        <w:rPr>
          <w:sz w:val="23"/>
          <w:szCs w:val="23"/>
        </w:rPr>
        <w:t xml:space="preserve">Cumbria Constabulary </w:t>
      </w:r>
      <w:r w:rsidRPr="00B2240A">
        <w:rPr>
          <w:sz w:val="23"/>
          <w:szCs w:val="23"/>
        </w:rPr>
        <w:t>discharge the operational duty, for instance, where LFR is appropriately used to locate those posing a threat to the public or themselves where a real and immediate risk to life is identified.</w:t>
      </w:r>
    </w:p>
    <w:p w14:paraId="1DF4B8EF" w14:textId="29B568A8" w:rsidR="00FB1B7F" w:rsidRPr="001A542D" w:rsidRDefault="00403536" w:rsidP="001F5845">
      <w:pPr>
        <w:pStyle w:val="TitleClause"/>
        <w:rPr>
          <w:sz w:val="23"/>
          <w:szCs w:val="23"/>
        </w:rPr>
      </w:pPr>
      <w:r w:rsidRPr="001A542D">
        <w:rPr>
          <w:sz w:val="23"/>
          <w:szCs w:val="23"/>
        </w:rPr>
        <w:fldChar w:fldCharType="begin"/>
      </w:r>
      <w:r w:rsidRPr="001A542D">
        <w:rPr>
          <w:sz w:val="23"/>
          <w:szCs w:val="23"/>
        </w:rPr>
        <w:instrText>TC "4. Stay OR Dismissal of action" \l 1</w:instrText>
      </w:r>
      <w:r w:rsidRPr="001A542D">
        <w:rPr>
          <w:sz w:val="23"/>
          <w:szCs w:val="23"/>
        </w:rPr>
        <w:fldChar w:fldCharType="end"/>
      </w:r>
      <w:bookmarkStart w:id="7" w:name="_Toc219888751"/>
      <w:r w:rsidR="00E01783">
        <w:rPr>
          <w:sz w:val="23"/>
          <w:szCs w:val="23"/>
        </w:rPr>
        <w:t>Equality Act 2010</w:t>
      </w:r>
      <w:bookmarkEnd w:id="7"/>
    </w:p>
    <w:p w14:paraId="5763F0B1" w14:textId="7F2FF003" w:rsidR="00BD4AA6" w:rsidRDefault="00E01783" w:rsidP="00E01783">
      <w:pPr>
        <w:pStyle w:val="Untitledsubclause1"/>
        <w:rPr>
          <w:sz w:val="23"/>
          <w:szCs w:val="23"/>
        </w:rPr>
      </w:pPr>
      <w:bookmarkStart w:id="8" w:name="a274688"/>
      <w:r w:rsidRPr="00E01783">
        <w:rPr>
          <w:sz w:val="23"/>
          <w:szCs w:val="23"/>
        </w:rPr>
        <w:t xml:space="preserve">The Equality Act 2010 provides a legal framework to protect the rights of individuals and advance equality of opportunity for all. The Equality Act 2010 prohibits discrimination based on different treatment </w:t>
      </w:r>
      <w:proofErr w:type="gramStart"/>
      <w:r w:rsidRPr="00E01783">
        <w:rPr>
          <w:sz w:val="23"/>
          <w:szCs w:val="23"/>
        </w:rPr>
        <w:t>on the basis of</w:t>
      </w:r>
      <w:proofErr w:type="gramEnd"/>
      <w:r w:rsidRPr="00E01783">
        <w:rPr>
          <w:sz w:val="23"/>
          <w:szCs w:val="23"/>
        </w:rPr>
        <w:t xml:space="preserve"> a protected characteristic. Specific consideration of the composition of LFR Watchlists and protected characteristics </w:t>
      </w:r>
      <w:r>
        <w:rPr>
          <w:sz w:val="23"/>
          <w:szCs w:val="23"/>
        </w:rPr>
        <w:t>is contained in Paragraph 10.9 to 10.14 (inclusive) of the LFR Policy</w:t>
      </w:r>
      <w:r w:rsidR="00DA05CF">
        <w:rPr>
          <w:sz w:val="23"/>
          <w:szCs w:val="23"/>
        </w:rPr>
        <w:t>.</w:t>
      </w:r>
    </w:p>
    <w:p w14:paraId="3E2B2E11" w14:textId="07D53EB8" w:rsidR="00DA05CF" w:rsidRPr="00E01783" w:rsidRDefault="00DA05CF" w:rsidP="00E01783">
      <w:pPr>
        <w:pStyle w:val="Untitledsubclause1"/>
        <w:rPr>
          <w:sz w:val="23"/>
          <w:szCs w:val="23"/>
        </w:rPr>
      </w:pPr>
      <w:r w:rsidRPr="00DA05CF">
        <w:rPr>
          <w:sz w:val="23"/>
          <w:szCs w:val="23"/>
        </w:rPr>
        <w:lastRenderedPageBreak/>
        <w:t xml:space="preserve">The prohibition of discrimination applies to both direct and indirect discrimination. As a public authority, </w:t>
      </w:r>
      <w:r>
        <w:rPr>
          <w:sz w:val="23"/>
          <w:szCs w:val="23"/>
        </w:rPr>
        <w:t>Cumbria Constabulary</w:t>
      </w:r>
      <w:r w:rsidRPr="00DA05CF">
        <w:rPr>
          <w:sz w:val="23"/>
          <w:szCs w:val="23"/>
        </w:rPr>
        <w:t xml:space="preserve"> must also comply with section 149 of the Equality Act 2010 that is </w:t>
      </w:r>
      <w:proofErr w:type="gramStart"/>
      <w:r w:rsidRPr="00DA05CF">
        <w:rPr>
          <w:sz w:val="23"/>
          <w:szCs w:val="23"/>
        </w:rPr>
        <w:t>most commonly known</w:t>
      </w:r>
      <w:proofErr w:type="gramEnd"/>
      <w:r w:rsidRPr="00DA05CF">
        <w:rPr>
          <w:sz w:val="23"/>
          <w:szCs w:val="23"/>
        </w:rPr>
        <w:t xml:space="preserve"> as the Public Sector Equality Duty</w:t>
      </w:r>
      <w:r>
        <w:rPr>
          <w:sz w:val="23"/>
          <w:szCs w:val="23"/>
        </w:rPr>
        <w:t xml:space="preserve"> (“</w:t>
      </w:r>
      <w:r w:rsidRPr="00DA05CF">
        <w:rPr>
          <w:b/>
          <w:bCs/>
          <w:sz w:val="23"/>
          <w:szCs w:val="23"/>
        </w:rPr>
        <w:t>PSED</w:t>
      </w:r>
      <w:r>
        <w:rPr>
          <w:sz w:val="23"/>
          <w:szCs w:val="23"/>
        </w:rPr>
        <w:t>”).</w:t>
      </w:r>
    </w:p>
    <w:bookmarkEnd w:id="8"/>
    <w:p w14:paraId="5EBA52C3" w14:textId="77777777" w:rsidR="00DA05CF" w:rsidRDefault="00DA05CF" w:rsidP="00DA05CF">
      <w:pPr>
        <w:pStyle w:val="Untitledsubclause1"/>
        <w:rPr>
          <w:sz w:val="23"/>
          <w:szCs w:val="23"/>
        </w:rPr>
      </w:pPr>
      <w:r w:rsidRPr="00DA05CF">
        <w:rPr>
          <w:sz w:val="23"/>
          <w:szCs w:val="23"/>
        </w:rPr>
        <w:t>Cumbria Constabulary is required to take measures to ensure that the use of LFR complies with the Equality Act 2010. Particular attention is needed in two respects:</w:t>
      </w:r>
    </w:p>
    <w:p w14:paraId="42A2D818" w14:textId="77777777" w:rsidR="00DA05CF" w:rsidRDefault="00DA05CF" w:rsidP="00DA05CF">
      <w:pPr>
        <w:pStyle w:val="Untitledsubclause2"/>
        <w:rPr>
          <w:sz w:val="23"/>
          <w:szCs w:val="23"/>
        </w:rPr>
      </w:pPr>
      <w:r w:rsidRPr="00DA05CF">
        <w:rPr>
          <w:sz w:val="23"/>
          <w:szCs w:val="23"/>
        </w:rPr>
        <w:t xml:space="preserve">the technical performance of the LFR system (and then, if performance varies by any </w:t>
      </w:r>
      <w:proofErr w:type="gramStart"/>
      <w:r w:rsidRPr="00DA05CF">
        <w:rPr>
          <w:sz w:val="23"/>
          <w:szCs w:val="23"/>
        </w:rPr>
        <w:t>particular demographic</w:t>
      </w:r>
      <w:proofErr w:type="gramEnd"/>
      <w:r w:rsidRPr="00DA05CF">
        <w:rPr>
          <w:sz w:val="23"/>
          <w:szCs w:val="23"/>
        </w:rPr>
        <w:t>)</w:t>
      </w:r>
      <w:r>
        <w:rPr>
          <w:sz w:val="23"/>
          <w:szCs w:val="23"/>
        </w:rPr>
        <w:t>; and</w:t>
      </w:r>
    </w:p>
    <w:p w14:paraId="39444216" w14:textId="77777777" w:rsidR="00DA05CF" w:rsidRDefault="00DA05CF" w:rsidP="00DA05CF">
      <w:pPr>
        <w:pStyle w:val="Untitledsubclause2"/>
        <w:rPr>
          <w:sz w:val="23"/>
          <w:szCs w:val="23"/>
        </w:rPr>
      </w:pPr>
      <w:r w:rsidRPr="00DA05CF">
        <w:rPr>
          <w:sz w:val="23"/>
          <w:szCs w:val="23"/>
        </w:rPr>
        <w:t>the operational Deployment of the LFR system including in relation to the demographic profile of the Deployment location, the profile of the Alerts and the composition of the Watchlist.</w:t>
      </w:r>
    </w:p>
    <w:p w14:paraId="40412AC1" w14:textId="69D1FE2F" w:rsidR="00BD4AA6" w:rsidRDefault="00DA05CF" w:rsidP="00DA05CF">
      <w:pPr>
        <w:pStyle w:val="Untitledsubclause1"/>
        <w:numPr>
          <w:ilvl w:val="0"/>
          <w:numId w:val="0"/>
        </w:numPr>
        <w:ind w:left="720"/>
        <w:rPr>
          <w:sz w:val="23"/>
          <w:szCs w:val="23"/>
        </w:rPr>
      </w:pPr>
      <w:r w:rsidRPr="00DA05CF">
        <w:rPr>
          <w:sz w:val="23"/>
          <w:szCs w:val="23"/>
        </w:rPr>
        <w:t>These points are addressed further in the impact assessments applicable to LFR and Deployment of LFR.</w:t>
      </w:r>
    </w:p>
    <w:p w14:paraId="0D342481" w14:textId="47FECFD2" w:rsidR="00DA05CF" w:rsidRDefault="00DA05CF" w:rsidP="00DA05CF">
      <w:pPr>
        <w:pStyle w:val="Untitledsubclause1"/>
        <w:rPr>
          <w:sz w:val="23"/>
          <w:szCs w:val="23"/>
        </w:rPr>
      </w:pPr>
      <w:r>
        <w:rPr>
          <w:sz w:val="23"/>
          <w:szCs w:val="23"/>
        </w:rPr>
        <w:t>In terms of technical performance, the Bridge’s Appeal</w:t>
      </w:r>
      <w:r w:rsidRPr="00DA05CF">
        <w:rPr>
          <w:sz w:val="23"/>
          <w:szCs w:val="23"/>
        </w:rPr>
        <w:t xml:space="preserve"> makes it clear that the PSED requires</w:t>
      </w:r>
      <w:r>
        <w:rPr>
          <w:sz w:val="23"/>
          <w:szCs w:val="23"/>
        </w:rPr>
        <w:t xml:space="preserve"> Cumbria Constabulary </w:t>
      </w:r>
      <w:r w:rsidRPr="00DA05CF">
        <w:rPr>
          <w:sz w:val="23"/>
          <w:szCs w:val="23"/>
        </w:rPr>
        <w:t>to take reasonable steps to satisfy itself, either directly or by way of independent verification, that the algorithm does not have an unacceptable bias on grounds of race or sex.</w:t>
      </w:r>
      <w:r>
        <w:rPr>
          <w:sz w:val="23"/>
          <w:szCs w:val="23"/>
        </w:rPr>
        <w:t xml:space="preserve"> </w:t>
      </w:r>
      <w:r w:rsidRPr="00DA05CF">
        <w:rPr>
          <w:sz w:val="23"/>
          <w:szCs w:val="23"/>
        </w:rPr>
        <w:t>Equality Impact Assessment</w:t>
      </w:r>
      <w:r>
        <w:rPr>
          <w:sz w:val="23"/>
          <w:szCs w:val="23"/>
        </w:rPr>
        <w:t>s are therefore critical</w:t>
      </w:r>
      <w:r w:rsidRPr="00DA05CF">
        <w:rPr>
          <w:sz w:val="23"/>
          <w:szCs w:val="23"/>
        </w:rPr>
        <w:t>.</w:t>
      </w:r>
    </w:p>
    <w:p w14:paraId="25E4AD08" w14:textId="26850808" w:rsidR="00DA05CF" w:rsidRDefault="00DA05CF" w:rsidP="00DA05CF">
      <w:pPr>
        <w:pStyle w:val="Untitledsubclause1"/>
        <w:rPr>
          <w:sz w:val="23"/>
          <w:szCs w:val="23"/>
        </w:rPr>
      </w:pPr>
      <w:r>
        <w:rPr>
          <w:sz w:val="23"/>
          <w:szCs w:val="23"/>
        </w:rPr>
        <w:t>In terms of t</w:t>
      </w:r>
      <w:r w:rsidRPr="00DA05CF">
        <w:rPr>
          <w:sz w:val="23"/>
          <w:szCs w:val="23"/>
        </w:rPr>
        <w:t>he operational Deployment of the LFR system</w:t>
      </w:r>
      <w:r>
        <w:rPr>
          <w:sz w:val="23"/>
          <w:szCs w:val="23"/>
        </w:rPr>
        <w:t xml:space="preserve">, </w:t>
      </w:r>
      <w:r w:rsidRPr="00DA05CF">
        <w:rPr>
          <w:sz w:val="23"/>
          <w:szCs w:val="23"/>
        </w:rPr>
        <w:t xml:space="preserve">LFR Documents </w:t>
      </w:r>
      <w:r>
        <w:rPr>
          <w:sz w:val="23"/>
          <w:szCs w:val="23"/>
        </w:rPr>
        <w:t>are</w:t>
      </w:r>
      <w:r w:rsidRPr="00DA05CF">
        <w:rPr>
          <w:sz w:val="23"/>
          <w:szCs w:val="23"/>
        </w:rPr>
        <w:t xml:space="preserve"> responsive to the Subject, System and Environmental Factors to ensure the LFR system is suitable for its intended use and operating correctly</w:t>
      </w:r>
      <w:r>
        <w:rPr>
          <w:sz w:val="23"/>
          <w:szCs w:val="23"/>
        </w:rPr>
        <w:t xml:space="preserve">, ultimately in view of </w:t>
      </w:r>
      <w:r w:rsidRPr="00DA05CF">
        <w:rPr>
          <w:sz w:val="23"/>
          <w:szCs w:val="23"/>
        </w:rPr>
        <w:t xml:space="preserve">compliance with </w:t>
      </w:r>
      <w:r>
        <w:rPr>
          <w:sz w:val="23"/>
          <w:szCs w:val="23"/>
        </w:rPr>
        <w:t>the</w:t>
      </w:r>
      <w:r w:rsidRPr="00DA05CF">
        <w:rPr>
          <w:sz w:val="23"/>
          <w:szCs w:val="23"/>
        </w:rPr>
        <w:t xml:space="preserve"> Equality Act 2010</w:t>
      </w:r>
      <w:r>
        <w:rPr>
          <w:sz w:val="23"/>
          <w:szCs w:val="23"/>
        </w:rPr>
        <w:t>.</w:t>
      </w:r>
    </w:p>
    <w:p w14:paraId="27795D4D" w14:textId="43ACDA5D" w:rsidR="00F05FAA" w:rsidRDefault="00F05FAA" w:rsidP="00F05FAA">
      <w:pPr>
        <w:pStyle w:val="TitleClause"/>
        <w:rPr>
          <w:sz w:val="23"/>
          <w:szCs w:val="23"/>
        </w:rPr>
      </w:pPr>
      <w:bookmarkStart w:id="9" w:name="_Toc219888752"/>
      <w:r>
        <w:rPr>
          <w:sz w:val="23"/>
          <w:szCs w:val="23"/>
        </w:rPr>
        <w:t>Data Protection Act 2018 and UK GDPR</w:t>
      </w:r>
      <w:bookmarkEnd w:id="9"/>
    </w:p>
    <w:p w14:paraId="059B5EF1" w14:textId="766A950E" w:rsidR="00F05FAA" w:rsidRDefault="00F05FAA" w:rsidP="00F05FAA">
      <w:pPr>
        <w:pStyle w:val="Untitledsubclause1"/>
        <w:rPr>
          <w:sz w:val="23"/>
          <w:szCs w:val="23"/>
        </w:rPr>
      </w:pPr>
      <w:r>
        <w:rPr>
          <w:sz w:val="23"/>
          <w:szCs w:val="23"/>
        </w:rPr>
        <w:t>LFR involves the processing of biometric data, a special category data pursuant to the Data Protection Act 2018</w:t>
      </w:r>
      <w:r>
        <w:rPr>
          <w:rStyle w:val="FootnoteReference"/>
          <w:sz w:val="23"/>
          <w:szCs w:val="23"/>
        </w:rPr>
        <w:footnoteReference w:id="27"/>
      </w:r>
      <w:r>
        <w:rPr>
          <w:sz w:val="23"/>
          <w:szCs w:val="23"/>
        </w:rPr>
        <w:t xml:space="preserve"> and UK GDPR. Such processing must therefore</w:t>
      </w:r>
      <w:r w:rsidR="00365DA5">
        <w:rPr>
          <w:sz w:val="23"/>
          <w:szCs w:val="23"/>
        </w:rPr>
        <w:t xml:space="preserve"> have a lawful basis. The lawful basis for processing for which reliance is drawn is pursuant to law enforcement purposes.</w:t>
      </w:r>
      <w:r w:rsidR="00365DA5">
        <w:rPr>
          <w:rStyle w:val="FootnoteReference"/>
          <w:sz w:val="23"/>
          <w:szCs w:val="23"/>
        </w:rPr>
        <w:footnoteReference w:id="28"/>
      </w:r>
      <w:r w:rsidR="00365DA5">
        <w:rPr>
          <w:sz w:val="23"/>
          <w:szCs w:val="23"/>
        </w:rPr>
        <w:t xml:space="preserve"> This is defined as:</w:t>
      </w:r>
    </w:p>
    <w:p w14:paraId="35245B4E" w14:textId="70E09D1F" w:rsidR="00F05FAA" w:rsidRDefault="00365DA5" w:rsidP="00365DA5">
      <w:pPr>
        <w:pStyle w:val="Untitledsubclause1"/>
        <w:numPr>
          <w:ilvl w:val="0"/>
          <w:numId w:val="0"/>
        </w:numPr>
        <w:ind w:left="720"/>
        <w:rPr>
          <w:sz w:val="23"/>
          <w:szCs w:val="23"/>
        </w:rPr>
      </w:pPr>
      <w:r w:rsidRPr="00365DA5">
        <w:rPr>
          <w:sz w:val="23"/>
          <w:szCs w:val="23"/>
        </w:rPr>
        <w:t>“</w:t>
      </w:r>
      <w:r w:rsidRPr="001902BD">
        <w:rPr>
          <w:i/>
          <w:iCs/>
          <w:sz w:val="23"/>
          <w:szCs w:val="23"/>
        </w:rPr>
        <w:t>The prevention, investigation detection or prosecution of criminal offences or the execution of criminal penalties, including the safeguarding against and the prevention of threats to public security.”</w:t>
      </w:r>
      <w:r w:rsidRPr="001902BD">
        <w:rPr>
          <w:rStyle w:val="FootnoteReference"/>
          <w:i/>
          <w:iCs/>
          <w:sz w:val="23"/>
          <w:szCs w:val="23"/>
        </w:rPr>
        <w:footnoteReference w:id="29"/>
      </w:r>
    </w:p>
    <w:p w14:paraId="0344BB0E" w14:textId="077D1565" w:rsidR="00365DA5" w:rsidRDefault="00365DA5" w:rsidP="00365DA5">
      <w:pPr>
        <w:pStyle w:val="Untitledsubclause1"/>
        <w:rPr>
          <w:sz w:val="23"/>
          <w:szCs w:val="23"/>
        </w:rPr>
      </w:pPr>
      <w:r>
        <w:rPr>
          <w:sz w:val="23"/>
          <w:szCs w:val="23"/>
        </w:rPr>
        <w:lastRenderedPageBreak/>
        <w:t>Whilst</w:t>
      </w:r>
      <w:r w:rsidRPr="00365DA5">
        <w:rPr>
          <w:sz w:val="23"/>
          <w:szCs w:val="23"/>
        </w:rPr>
        <w:t xml:space="preserve"> consent is impractical in the context of LFR, where sensitive processing occurs it will need to be a strict necessity standard, pursuant to 35(5)(b) of the DPA 2018.</w:t>
      </w:r>
      <w:r w:rsidR="00BC2BC1">
        <w:rPr>
          <w:sz w:val="23"/>
          <w:szCs w:val="23"/>
        </w:rPr>
        <w:t xml:space="preserve"> As such, additional factors should be considered such as alternate policing methods, the importance of achieving law enforcement purposes and the sized and scale of the LFR Deployment. </w:t>
      </w:r>
      <w:r w:rsidRPr="00365DA5">
        <w:rPr>
          <w:sz w:val="23"/>
          <w:szCs w:val="23"/>
        </w:rPr>
        <w:t>Additionally, at least one Schedule 8 ground must apply and be made out. The Schedule 8 grounds are as follows:</w:t>
      </w:r>
    </w:p>
    <w:p w14:paraId="1FCCEE15" w14:textId="77777777" w:rsidR="00365DA5" w:rsidRDefault="00365DA5" w:rsidP="00365DA5">
      <w:pPr>
        <w:pStyle w:val="Untitledsubclause2"/>
        <w:rPr>
          <w:sz w:val="23"/>
          <w:szCs w:val="23"/>
        </w:rPr>
      </w:pPr>
      <w:r w:rsidRPr="00365DA5">
        <w:rPr>
          <w:sz w:val="23"/>
          <w:szCs w:val="23"/>
        </w:rPr>
        <w:t xml:space="preserve">necessary for judicial and statutory purposes – for reasons of substantial public </w:t>
      </w:r>
      <w:proofErr w:type="gramStart"/>
      <w:r w:rsidRPr="00365DA5">
        <w:rPr>
          <w:sz w:val="23"/>
          <w:szCs w:val="23"/>
        </w:rPr>
        <w:t>interest;</w:t>
      </w:r>
      <w:proofErr w:type="gramEnd"/>
    </w:p>
    <w:p w14:paraId="2AD0AF5E" w14:textId="77777777" w:rsidR="00365DA5" w:rsidRDefault="00365DA5" w:rsidP="00365DA5">
      <w:pPr>
        <w:pStyle w:val="Untitledsubclause2"/>
        <w:rPr>
          <w:sz w:val="23"/>
          <w:szCs w:val="23"/>
        </w:rPr>
      </w:pPr>
      <w:r w:rsidRPr="00365DA5">
        <w:rPr>
          <w:sz w:val="23"/>
          <w:szCs w:val="23"/>
        </w:rPr>
        <w:t xml:space="preserve">necessary for the administration of </w:t>
      </w:r>
      <w:proofErr w:type="gramStart"/>
      <w:r w:rsidRPr="00365DA5">
        <w:rPr>
          <w:sz w:val="23"/>
          <w:szCs w:val="23"/>
        </w:rPr>
        <w:t>justice;</w:t>
      </w:r>
      <w:proofErr w:type="gramEnd"/>
    </w:p>
    <w:p w14:paraId="1C2A6666" w14:textId="77777777" w:rsidR="00365DA5" w:rsidRDefault="00365DA5" w:rsidP="00365DA5">
      <w:pPr>
        <w:pStyle w:val="Untitledsubclause2"/>
        <w:rPr>
          <w:sz w:val="23"/>
          <w:szCs w:val="23"/>
        </w:rPr>
      </w:pPr>
      <w:r w:rsidRPr="00365DA5">
        <w:rPr>
          <w:sz w:val="23"/>
          <w:szCs w:val="23"/>
        </w:rPr>
        <w:t xml:space="preserve">necessary to protect the vital interests of the data subject or another </w:t>
      </w:r>
      <w:proofErr w:type="gramStart"/>
      <w:r w:rsidRPr="00365DA5">
        <w:rPr>
          <w:sz w:val="23"/>
          <w:szCs w:val="23"/>
        </w:rPr>
        <w:t>individual;</w:t>
      </w:r>
      <w:proofErr w:type="gramEnd"/>
    </w:p>
    <w:p w14:paraId="2D7520D8" w14:textId="77777777" w:rsidR="00365DA5" w:rsidRDefault="00365DA5" w:rsidP="00365DA5">
      <w:pPr>
        <w:pStyle w:val="Untitledsubclause2"/>
        <w:rPr>
          <w:sz w:val="23"/>
          <w:szCs w:val="23"/>
        </w:rPr>
      </w:pPr>
      <w:r w:rsidRPr="00365DA5">
        <w:rPr>
          <w:sz w:val="23"/>
          <w:szCs w:val="23"/>
        </w:rPr>
        <w:t xml:space="preserve">necessary for the safeguarding of children and of individuals at </w:t>
      </w:r>
      <w:proofErr w:type="gramStart"/>
      <w:r w:rsidRPr="00365DA5">
        <w:rPr>
          <w:sz w:val="23"/>
          <w:szCs w:val="23"/>
        </w:rPr>
        <w:t>risk;</w:t>
      </w:r>
      <w:proofErr w:type="gramEnd"/>
    </w:p>
    <w:p w14:paraId="1241D904" w14:textId="77777777" w:rsidR="00365DA5" w:rsidRDefault="00365DA5" w:rsidP="00365DA5">
      <w:pPr>
        <w:pStyle w:val="Untitledsubclause2"/>
        <w:rPr>
          <w:sz w:val="23"/>
          <w:szCs w:val="23"/>
        </w:rPr>
      </w:pPr>
      <w:r w:rsidRPr="00365DA5">
        <w:rPr>
          <w:sz w:val="23"/>
          <w:szCs w:val="23"/>
        </w:rPr>
        <w:t>personal data already in the public domain (manifestly made public</w:t>
      </w:r>
      <w:proofErr w:type="gramStart"/>
      <w:r w:rsidRPr="00365DA5">
        <w:rPr>
          <w:sz w:val="23"/>
          <w:szCs w:val="23"/>
        </w:rPr>
        <w:t>);</w:t>
      </w:r>
      <w:proofErr w:type="gramEnd"/>
    </w:p>
    <w:p w14:paraId="6D6F7530" w14:textId="609C9B57" w:rsidR="00365DA5" w:rsidRDefault="00365DA5" w:rsidP="00365DA5">
      <w:pPr>
        <w:pStyle w:val="Untitledsubclause2"/>
        <w:rPr>
          <w:sz w:val="23"/>
          <w:szCs w:val="23"/>
        </w:rPr>
      </w:pPr>
      <w:r w:rsidRPr="00365DA5">
        <w:rPr>
          <w:sz w:val="23"/>
          <w:szCs w:val="23"/>
        </w:rPr>
        <w:t xml:space="preserve">necessary for legal </w:t>
      </w:r>
      <w:proofErr w:type="gramStart"/>
      <w:r w:rsidRPr="00365DA5">
        <w:rPr>
          <w:sz w:val="23"/>
          <w:szCs w:val="23"/>
        </w:rPr>
        <w:t>claims;</w:t>
      </w:r>
      <w:proofErr w:type="gramEnd"/>
    </w:p>
    <w:p w14:paraId="2EF72DA5" w14:textId="0016D322" w:rsidR="00365DA5" w:rsidRDefault="00365DA5" w:rsidP="00365DA5">
      <w:pPr>
        <w:pStyle w:val="Untitledsubclause2"/>
        <w:rPr>
          <w:sz w:val="23"/>
          <w:szCs w:val="23"/>
        </w:rPr>
      </w:pPr>
      <w:r w:rsidRPr="00365DA5">
        <w:rPr>
          <w:sz w:val="23"/>
          <w:szCs w:val="23"/>
        </w:rPr>
        <w:t xml:space="preserve">necessary for when a </w:t>
      </w:r>
      <w:r w:rsidR="00E302B1">
        <w:rPr>
          <w:sz w:val="23"/>
          <w:szCs w:val="23"/>
        </w:rPr>
        <w:t>C</w:t>
      </w:r>
      <w:r w:rsidRPr="00365DA5">
        <w:rPr>
          <w:sz w:val="23"/>
          <w:szCs w:val="23"/>
        </w:rPr>
        <w:t xml:space="preserve">ourt acts in its judicial </w:t>
      </w:r>
      <w:proofErr w:type="gramStart"/>
      <w:r w:rsidRPr="00365DA5">
        <w:rPr>
          <w:sz w:val="23"/>
          <w:szCs w:val="23"/>
        </w:rPr>
        <w:t>capacity;</w:t>
      </w:r>
      <w:proofErr w:type="gramEnd"/>
    </w:p>
    <w:p w14:paraId="3F1DAADD" w14:textId="77777777" w:rsidR="00365DA5" w:rsidRDefault="00365DA5" w:rsidP="00365DA5">
      <w:pPr>
        <w:pStyle w:val="Untitledsubclause2"/>
        <w:rPr>
          <w:sz w:val="23"/>
          <w:szCs w:val="23"/>
        </w:rPr>
      </w:pPr>
      <w:r w:rsidRPr="00365DA5">
        <w:rPr>
          <w:sz w:val="23"/>
          <w:szCs w:val="23"/>
        </w:rPr>
        <w:t>necessary for the purpose of preventing fraud; and</w:t>
      </w:r>
    </w:p>
    <w:p w14:paraId="433F0B2F" w14:textId="43766164" w:rsidR="00365DA5" w:rsidRPr="00365DA5" w:rsidRDefault="00365DA5" w:rsidP="00365DA5">
      <w:pPr>
        <w:pStyle w:val="Untitledsubclause2"/>
        <w:rPr>
          <w:sz w:val="23"/>
          <w:szCs w:val="23"/>
        </w:rPr>
      </w:pPr>
      <w:r w:rsidRPr="00365DA5">
        <w:rPr>
          <w:sz w:val="23"/>
          <w:szCs w:val="23"/>
        </w:rPr>
        <w:t>necessary for archiving, research or statistical purposes</w:t>
      </w:r>
      <w:r w:rsidR="00F846B8">
        <w:rPr>
          <w:sz w:val="23"/>
          <w:szCs w:val="23"/>
        </w:rPr>
        <w:t>.</w:t>
      </w:r>
    </w:p>
    <w:p w14:paraId="76C3410D" w14:textId="040FC063" w:rsidR="00DA05CF" w:rsidRDefault="004753C5" w:rsidP="004753C5">
      <w:pPr>
        <w:pStyle w:val="Untitledsubclause1"/>
        <w:rPr>
          <w:sz w:val="23"/>
          <w:szCs w:val="23"/>
        </w:rPr>
      </w:pPr>
      <w:r w:rsidRPr="004753C5">
        <w:rPr>
          <w:sz w:val="23"/>
          <w:szCs w:val="23"/>
        </w:rPr>
        <w:t xml:space="preserve">In relation to the use cases for LFR, Schedule 8, paragraph 1 is applicable – this condition being met if the processing is necessary for the exercise of a function conferred on a person by an enactment or rule of </w:t>
      </w:r>
      <w:proofErr w:type="gramStart"/>
      <w:r w:rsidRPr="004753C5">
        <w:rPr>
          <w:sz w:val="23"/>
          <w:szCs w:val="23"/>
        </w:rPr>
        <w:t>law, and</w:t>
      </w:r>
      <w:proofErr w:type="gramEnd"/>
      <w:r w:rsidRPr="004753C5">
        <w:rPr>
          <w:sz w:val="23"/>
          <w:szCs w:val="23"/>
        </w:rPr>
        <w:t xml:space="preserve"> is necessary for reasons of substantial public interest. </w:t>
      </w:r>
      <w:r>
        <w:rPr>
          <w:sz w:val="23"/>
          <w:szCs w:val="23"/>
        </w:rPr>
        <w:t>T</w:t>
      </w:r>
      <w:r w:rsidRPr="004753C5">
        <w:rPr>
          <w:sz w:val="23"/>
          <w:szCs w:val="23"/>
        </w:rPr>
        <w:t xml:space="preserve">he </w:t>
      </w:r>
      <w:r>
        <w:rPr>
          <w:sz w:val="23"/>
          <w:szCs w:val="23"/>
        </w:rPr>
        <w:t>Authorising Officers</w:t>
      </w:r>
      <w:r w:rsidRPr="004753C5">
        <w:rPr>
          <w:sz w:val="23"/>
          <w:szCs w:val="23"/>
        </w:rPr>
        <w:t xml:space="preserve"> must justify the need to process more sensitive data for a law enforcement reason with greater specificity than would otherwise be the case for wider processing pursuant 35(2) of the D</w:t>
      </w:r>
      <w:r>
        <w:rPr>
          <w:sz w:val="23"/>
          <w:szCs w:val="23"/>
        </w:rPr>
        <w:t xml:space="preserve">ata </w:t>
      </w:r>
      <w:r w:rsidRPr="004753C5">
        <w:rPr>
          <w:sz w:val="23"/>
          <w:szCs w:val="23"/>
        </w:rPr>
        <w:t>P</w:t>
      </w:r>
      <w:r>
        <w:rPr>
          <w:sz w:val="23"/>
          <w:szCs w:val="23"/>
        </w:rPr>
        <w:t xml:space="preserve">rotection </w:t>
      </w:r>
      <w:r w:rsidRPr="004753C5">
        <w:rPr>
          <w:sz w:val="23"/>
          <w:szCs w:val="23"/>
        </w:rPr>
        <w:t>A</w:t>
      </w:r>
      <w:r>
        <w:rPr>
          <w:sz w:val="23"/>
          <w:szCs w:val="23"/>
        </w:rPr>
        <w:t>ct</w:t>
      </w:r>
      <w:r w:rsidRPr="004753C5">
        <w:rPr>
          <w:sz w:val="23"/>
          <w:szCs w:val="23"/>
        </w:rPr>
        <w:t xml:space="preserve"> 2018.</w:t>
      </w:r>
      <w:r>
        <w:rPr>
          <w:sz w:val="23"/>
          <w:szCs w:val="23"/>
        </w:rPr>
        <w:t xml:space="preserve"> </w:t>
      </w:r>
      <w:r w:rsidRPr="004753C5">
        <w:rPr>
          <w:sz w:val="23"/>
          <w:szCs w:val="23"/>
        </w:rPr>
        <w:t xml:space="preserve">Additionally, pursuant to section 35(5)(c) </w:t>
      </w:r>
      <w:r>
        <w:rPr>
          <w:sz w:val="23"/>
          <w:szCs w:val="23"/>
        </w:rPr>
        <w:t xml:space="preserve">of the Data Protection Act 2018, </w:t>
      </w:r>
      <w:r w:rsidRPr="004753C5">
        <w:rPr>
          <w:sz w:val="23"/>
          <w:szCs w:val="23"/>
        </w:rPr>
        <w:t xml:space="preserve">at the time when processing is carried out </w:t>
      </w:r>
      <w:r>
        <w:rPr>
          <w:sz w:val="23"/>
          <w:szCs w:val="23"/>
        </w:rPr>
        <w:t>there is a requirement</w:t>
      </w:r>
      <w:r w:rsidRPr="004753C5">
        <w:rPr>
          <w:sz w:val="23"/>
          <w:szCs w:val="23"/>
        </w:rPr>
        <w:t xml:space="preserve"> to have an appropriate policy document in place in line with section 42 D</w:t>
      </w:r>
      <w:r>
        <w:rPr>
          <w:sz w:val="23"/>
          <w:szCs w:val="23"/>
        </w:rPr>
        <w:t xml:space="preserve">ata </w:t>
      </w:r>
      <w:r w:rsidRPr="004753C5">
        <w:rPr>
          <w:sz w:val="23"/>
          <w:szCs w:val="23"/>
        </w:rPr>
        <w:t>P</w:t>
      </w:r>
      <w:r>
        <w:rPr>
          <w:sz w:val="23"/>
          <w:szCs w:val="23"/>
        </w:rPr>
        <w:t xml:space="preserve">rotection </w:t>
      </w:r>
      <w:r w:rsidRPr="004753C5">
        <w:rPr>
          <w:sz w:val="23"/>
          <w:szCs w:val="23"/>
        </w:rPr>
        <w:t>A</w:t>
      </w:r>
      <w:r>
        <w:rPr>
          <w:sz w:val="23"/>
          <w:szCs w:val="23"/>
        </w:rPr>
        <w:t>ct</w:t>
      </w:r>
      <w:r w:rsidRPr="004753C5">
        <w:rPr>
          <w:sz w:val="23"/>
          <w:szCs w:val="23"/>
        </w:rPr>
        <w:t xml:space="preserve"> 2018</w:t>
      </w:r>
      <w:r>
        <w:rPr>
          <w:sz w:val="23"/>
          <w:szCs w:val="23"/>
        </w:rPr>
        <w:t>.</w:t>
      </w:r>
    </w:p>
    <w:p w14:paraId="770DB8BA" w14:textId="77777777" w:rsidR="009C4200" w:rsidRDefault="009C4200" w:rsidP="004753C5">
      <w:pPr>
        <w:pStyle w:val="Untitledsubclause1"/>
        <w:rPr>
          <w:sz w:val="23"/>
          <w:szCs w:val="23"/>
        </w:rPr>
      </w:pPr>
      <w:r>
        <w:rPr>
          <w:sz w:val="23"/>
          <w:szCs w:val="23"/>
        </w:rPr>
        <w:t>A Data Protection Impact Assessment has</w:t>
      </w:r>
      <w:r w:rsidRPr="009C4200">
        <w:rPr>
          <w:sz w:val="23"/>
          <w:szCs w:val="23"/>
        </w:rPr>
        <w:t xml:space="preserve"> been conducted to support the use of LFR </w:t>
      </w:r>
      <w:proofErr w:type="gramStart"/>
      <w:r w:rsidRPr="009C4200">
        <w:rPr>
          <w:sz w:val="23"/>
          <w:szCs w:val="23"/>
        </w:rPr>
        <w:t>in order to</w:t>
      </w:r>
      <w:proofErr w:type="gramEnd"/>
      <w:r w:rsidRPr="009C4200">
        <w:rPr>
          <w:sz w:val="23"/>
          <w:szCs w:val="23"/>
        </w:rPr>
        <w:t xml:space="preserve"> identify and minimise the data protection risks. Whilst the LFR DPIA will be under constant review and no later than on an annual basis, Authorising Officers authorising the use of LFR should ensure there is a DPIA in place which is sufficient for each Deployment. Specifically, consideration should be given to</w:t>
      </w:r>
    </w:p>
    <w:p w14:paraId="48E4A3A6" w14:textId="77777777" w:rsidR="009C4200" w:rsidRDefault="009C4200" w:rsidP="009C4200">
      <w:pPr>
        <w:pStyle w:val="Untitledsubclause2"/>
        <w:rPr>
          <w:sz w:val="23"/>
          <w:szCs w:val="23"/>
        </w:rPr>
      </w:pPr>
      <w:r>
        <w:rPr>
          <w:sz w:val="23"/>
          <w:szCs w:val="23"/>
        </w:rPr>
        <w:t>if</w:t>
      </w:r>
      <w:r w:rsidRPr="009C4200">
        <w:rPr>
          <w:sz w:val="23"/>
          <w:szCs w:val="23"/>
        </w:rPr>
        <w:t xml:space="preserve"> the risks and controls remain current and sufficient for the planned use of LFR; and</w:t>
      </w:r>
    </w:p>
    <w:p w14:paraId="7CA46787" w14:textId="17A5A62C" w:rsidR="00BC2BC1" w:rsidRDefault="009C4200" w:rsidP="009C4200">
      <w:pPr>
        <w:pStyle w:val="Untitledsubclause2"/>
        <w:rPr>
          <w:sz w:val="23"/>
          <w:szCs w:val="23"/>
        </w:rPr>
      </w:pPr>
      <w:r w:rsidRPr="009C4200">
        <w:rPr>
          <w:sz w:val="23"/>
          <w:szCs w:val="23"/>
        </w:rPr>
        <w:t>if the planned use for LFR poses any other risks which are capable of mitigation beyond those identified in the DPIA.</w:t>
      </w:r>
    </w:p>
    <w:p w14:paraId="390F69A7" w14:textId="03CDE96D" w:rsidR="009C4200" w:rsidRDefault="009C4200" w:rsidP="009C4200">
      <w:pPr>
        <w:pStyle w:val="Untitledsubclause1"/>
        <w:rPr>
          <w:sz w:val="23"/>
          <w:szCs w:val="23"/>
        </w:rPr>
      </w:pPr>
      <w:r>
        <w:rPr>
          <w:sz w:val="23"/>
          <w:szCs w:val="23"/>
        </w:rPr>
        <w:lastRenderedPageBreak/>
        <w:t xml:space="preserve">In addition to the DPIA, </w:t>
      </w:r>
      <w:r w:rsidRPr="009C4200">
        <w:rPr>
          <w:sz w:val="23"/>
          <w:szCs w:val="23"/>
        </w:rPr>
        <w:t>the Equality Impact Assessment, the Community Impact Assessmen</w:t>
      </w:r>
      <w:r>
        <w:rPr>
          <w:sz w:val="23"/>
          <w:szCs w:val="23"/>
        </w:rPr>
        <w:t>t have also been carried out</w:t>
      </w:r>
      <w:r w:rsidRPr="009C4200">
        <w:rPr>
          <w:sz w:val="23"/>
          <w:szCs w:val="23"/>
        </w:rPr>
        <w:t>.</w:t>
      </w:r>
      <w:r>
        <w:rPr>
          <w:sz w:val="23"/>
          <w:szCs w:val="23"/>
        </w:rPr>
        <w:t xml:space="preserve"> As a new project, LFR will also be subject to a DPIA  Screen Questionnaire for review and consideration by the data Protection Officer/Information Management Team.</w:t>
      </w:r>
    </w:p>
    <w:p w14:paraId="73D34DF2" w14:textId="0FB3CD1D" w:rsidR="000546CE" w:rsidRPr="000546CE" w:rsidRDefault="000546CE" w:rsidP="000546CE">
      <w:pPr>
        <w:pStyle w:val="Untitledsubclause1"/>
        <w:rPr>
          <w:sz w:val="23"/>
          <w:szCs w:val="23"/>
        </w:rPr>
      </w:pPr>
      <w:r w:rsidRPr="000546CE">
        <w:rPr>
          <w:sz w:val="23"/>
          <w:szCs w:val="23"/>
        </w:rPr>
        <w:t xml:space="preserve">As part of </w:t>
      </w:r>
      <w:r>
        <w:rPr>
          <w:sz w:val="23"/>
          <w:szCs w:val="23"/>
        </w:rPr>
        <w:t>Cumbria Constabulary’s</w:t>
      </w:r>
      <w:r w:rsidRPr="000546CE">
        <w:rPr>
          <w:sz w:val="23"/>
          <w:szCs w:val="23"/>
        </w:rPr>
        <w:t xml:space="preserve"> common law powers to protect and preserve life and property, we process special category data in accordance with the requirements of Article 9 of the UK GDPR (which is incorporated into UK law under and supplemented by Part 2 and Schedule 1 of the D</w:t>
      </w:r>
      <w:r>
        <w:rPr>
          <w:sz w:val="23"/>
          <w:szCs w:val="23"/>
        </w:rPr>
        <w:t xml:space="preserve">ata </w:t>
      </w:r>
      <w:r w:rsidRPr="000546CE">
        <w:rPr>
          <w:sz w:val="23"/>
          <w:szCs w:val="23"/>
        </w:rPr>
        <w:t>P</w:t>
      </w:r>
      <w:r>
        <w:rPr>
          <w:sz w:val="23"/>
          <w:szCs w:val="23"/>
        </w:rPr>
        <w:t xml:space="preserve">rotection </w:t>
      </w:r>
      <w:r w:rsidRPr="000546CE">
        <w:rPr>
          <w:sz w:val="23"/>
          <w:szCs w:val="23"/>
        </w:rPr>
        <w:t>A</w:t>
      </w:r>
      <w:r>
        <w:rPr>
          <w:sz w:val="23"/>
          <w:szCs w:val="23"/>
        </w:rPr>
        <w:t>ct 2018</w:t>
      </w:r>
      <w:r w:rsidRPr="000546CE">
        <w:rPr>
          <w:sz w:val="23"/>
          <w:szCs w:val="23"/>
        </w:rPr>
        <w:t xml:space="preserve">). </w:t>
      </w:r>
    </w:p>
    <w:p w14:paraId="6500A27A" w14:textId="66D9BF12" w:rsidR="00675CA1" w:rsidRDefault="000546CE" w:rsidP="000546CE">
      <w:pPr>
        <w:pStyle w:val="Untitledsubclause1"/>
        <w:rPr>
          <w:sz w:val="23"/>
          <w:szCs w:val="23"/>
        </w:rPr>
      </w:pPr>
      <w:r w:rsidRPr="000546CE">
        <w:rPr>
          <w:sz w:val="23"/>
          <w:szCs w:val="23"/>
        </w:rPr>
        <w:t xml:space="preserve">The Schedule 1 DPA conditions for processing special category data require </w:t>
      </w:r>
      <w:r>
        <w:rPr>
          <w:sz w:val="23"/>
          <w:szCs w:val="23"/>
        </w:rPr>
        <w:t>Cumbria Constabulary</w:t>
      </w:r>
      <w:r w:rsidRPr="000546CE">
        <w:rPr>
          <w:sz w:val="23"/>
          <w:szCs w:val="23"/>
        </w:rPr>
        <w:t xml:space="preserve"> to have an A</w:t>
      </w:r>
      <w:r>
        <w:rPr>
          <w:sz w:val="23"/>
          <w:szCs w:val="23"/>
        </w:rPr>
        <w:t xml:space="preserve">ppropriate </w:t>
      </w:r>
      <w:r w:rsidRPr="000546CE">
        <w:rPr>
          <w:sz w:val="23"/>
          <w:szCs w:val="23"/>
        </w:rPr>
        <w:t>P</w:t>
      </w:r>
      <w:r>
        <w:rPr>
          <w:sz w:val="23"/>
          <w:szCs w:val="23"/>
        </w:rPr>
        <w:t xml:space="preserve">olicy </w:t>
      </w:r>
      <w:r w:rsidRPr="000546CE">
        <w:rPr>
          <w:sz w:val="23"/>
          <w:szCs w:val="23"/>
        </w:rPr>
        <w:t>D</w:t>
      </w:r>
      <w:r>
        <w:rPr>
          <w:sz w:val="23"/>
          <w:szCs w:val="23"/>
        </w:rPr>
        <w:t>ocument (</w:t>
      </w:r>
      <w:r w:rsidR="00E70376">
        <w:rPr>
          <w:sz w:val="23"/>
          <w:szCs w:val="23"/>
        </w:rPr>
        <w:t>“</w:t>
      </w:r>
      <w:r w:rsidRPr="004576A6">
        <w:rPr>
          <w:b/>
          <w:bCs/>
          <w:sz w:val="23"/>
          <w:szCs w:val="23"/>
        </w:rPr>
        <w:t>APD</w:t>
      </w:r>
      <w:r w:rsidR="00E70376">
        <w:rPr>
          <w:sz w:val="23"/>
          <w:szCs w:val="23"/>
        </w:rPr>
        <w:t>”</w:t>
      </w:r>
      <w:r>
        <w:rPr>
          <w:sz w:val="23"/>
          <w:szCs w:val="23"/>
        </w:rPr>
        <w:t>)</w:t>
      </w:r>
      <w:r w:rsidRPr="000546CE">
        <w:rPr>
          <w:sz w:val="23"/>
          <w:szCs w:val="23"/>
        </w:rPr>
        <w:t xml:space="preserve"> in place, setting out and explaining our procedures for securing compliance with the principles in Article 5 GDPR (relating to processing of personal data) and policies regarding the retention and erasure of such personal data.</w:t>
      </w:r>
    </w:p>
    <w:p w14:paraId="54D61567" w14:textId="77777777" w:rsidR="00675CA1" w:rsidRDefault="000546CE" w:rsidP="00675CA1">
      <w:pPr>
        <w:pStyle w:val="Untitledsubclause1"/>
        <w:rPr>
          <w:sz w:val="23"/>
          <w:szCs w:val="23"/>
        </w:rPr>
      </w:pPr>
      <w:r w:rsidRPr="000546CE">
        <w:rPr>
          <w:sz w:val="23"/>
          <w:szCs w:val="23"/>
        </w:rPr>
        <w:t>Article 9 conditions of UK GDPR are engaged:</w:t>
      </w:r>
    </w:p>
    <w:p w14:paraId="017CC574" w14:textId="1F4044D9" w:rsidR="00675CA1" w:rsidRDefault="000546CE" w:rsidP="000546CE">
      <w:pPr>
        <w:pStyle w:val="Untitledsubclause2"/>
        <w:rPr>
          <w:sz w:val="23"/>
          <w:szCs w:val="23"/>
        </w:rPr>
      </w:pPr>
      <w:r w:rsidRPr="00675CA1">
        <w:rPr>
          <w:sz w:val="23"/>
          <w:szCs w:val="23"/>
        </w:rPr>
        <w:t>explicit consent</w:t>
      </w:r>
      <w:r w:rsidR="00675CA1">
        <w:rPr>
          <w:sz w:val="23"/>
          <w:szCs w:val="23"/>
        </w:rPr>
        <w:t xml:space="preserve">; </w:t>
      </w:r>
      <w:r w:rsidRPr="00675CA1">
        <w:rPr>
          <w:sz w:val="23"/>
          <w:szCs w:val="23"/>
        </w:rPr>
        <w:t>and</w:t>
      </w:r>
    </w:p>
    <w:p w14:paraId="512B2671" w14:textId="7F20344E" w:rsidR="000546CE" w:rsidRPr="00675CA1" w:rsidRDefault="000546CE" w:rsidP="000546CE">
      <w:pPr>
        <w:pStyle w:val="Untitledsubclause2"/>
        <w:rPr>
          <w:sz w:val="23"/>
          <w:szCs w:val="23"/>
        </w:rPr>
      </w:pPr>
      <w:r w:rsidRPr="00675CA1">
        <w:rPr>
          <w:color w:val="1F1F24"/>
          <w:szCs w:val="22"/>
        </w:rPr>
        <w:t>substantial public interest</w:t>
      </w:r>
      <w:r w:rsidR="00675CA1">
        <w:rPr>
          <w:color w:val="1F1F24"/>
          <w:szCs w:val="22"/>
        </w:rPr>
        <w:t>.</w:t>
      </w:r>
    </w:p>
    <w:p w14:paraId="7F6E9D8E" w14:textId="6C49941F" w:rsidR="000546CE" w:rsidRPr="00675CA1" w:rsidRDefault="000546CE" w:rsidP="00675CA1">
      <w:pPr>
        <w:pStyle w:val="Untitledsubclause1"/>
        <w:rPr>
          <w:sz w:val="23"/>
          <w:szCs w:val="23"/>
        </w:rPr>
      </w:pPr>
      <w:r w:rsidRPr="00675CA1">
        <w:rPr>
          <w:sz w:val="23"/>
          <w:szCs w:val="23"/>
        </w:rPr>
        <w:t xml:space="preserve">Section 10 </w:t>
      </w:r>
      <w:r w:rsidR="00675CA1">
        <w:rPr>
          <w:sz w:val="23"/>
          <w:szCs w:val="23"/>
        </w:rPr>
        <w:t xml:space="preserve">of the Data </w:t>
      </w:r>
      <w:r w:rsidR="00675CA1" w:rsidRPr="00675CA1">
        <w:rPr>
          <w:sz w:val="23"/>
          <w:szCs w:val="23"/>
        </w:rPr>
        <w:t>P</w:t>
      </w:r>
      <w:r w:rsidR="00675CA1">
        <w:rPr>
          <w:sz w:val="23"/>
          <w:szCs w:val="23"/>
        </w:rPr>
        <w:t xml:space="preserve">rotection </w:t>
      </w:r>
      <w:r w:rsidRPr="00675CA1">
        <w:rPr>
          <w:sz w:val="23"/>
          <w:szCs w:val="23"/>
        </w:rPr>
        <w:t>A</w:t>
      </w:r>
      <w:r w:rsidR="00675CA1">
        <w:rPr>
          <w:sz w:val="23"/>
          <w:szCs w:val="23"/>
        </w:rPr>
        <w:t>ct 2018</w:t>
      </w:r>
      <w:r w:rsidRPr="00675CA1">
        <w:rPr>
          <w:sz w:val="23"/>
          <w:szCs w:val="23"/>
        </w:rPr>
        <w:t xml:space="preserve"> supplements Article 9 GDPR, requiring the following conditions of Schedule 1 to be satisfied (historical research part 1 of schedule 1/substantial public interest part 2 of schedule 1). </w:t>
      </w:r>
    </w:p>
    <w:p w14:paraId="10423FCF" w14:textId="651465B8" w:rsidR="00675CA1" w:rsidRDefault="000546CE" w:rsidP="000546CE">
      <w:pPr>
        <w:pStyle w:val="Untitledsubclause1"/>
        <w:rPr>
          <w:sz w:val="23"/>
          <w:szCs w:val="23"/>
        </w:rPr>
      </w:pPr>
      <w:r w:rsidRPr="00675CA1">
        <w:rPr>
          <w:sz w:val="23"/>
          <w:szCs w:val="23"/>
        </w:rPr>
        <w:t xml:space="preserve">Schedule 1 DPA (part </w:t>
      </w:r>
      <w:r w:rsidR="00675CA1">
        <w:rPr>
          <w:sz w:val="23"/>
          <w:szCs w:val="23"/>
        </w:rPr>
        <w:t>2</w:t>
      </w:r>
      <w:r w:rsidRPr="00675CA1">
        <w:rPr>
          <w:sz w:val="23"/>
          <w:szCs w:val="23"/>
        </w:rPr>
        <w:t>) are engaged:</w:t>
      </w:r>
    </w:p>
    <w:p w14:paraId="2F384B31" w14:textId="73E1EA5A" w:rsidR="00675CA1" w:rsidRPr="00675CA1" w:rsidRDefault="00675CA1" w:rsidP="000546CE">
      <w:pPr>
        <w:pStyle w:val="Untitledsubclause2"/>
        <w:rPr>
          <w:sz w:val="23"/>
          <w:szCs w:val="23"/>
        </w:rPr>
      </w:pPr>
      <w:r>
        <w:rPr>
          <w:color w:val="1F1F24"/>
          <w:szCs w:val="22"/>
        </w:rPr>
        <w:t>S</w:t>
      </w:r>
      <w:r w:rsidR="000546CE" w:rsidRPr="00675CA1">
        <w:rPr>
          <w:color w:val="1F1F24"/>
          <w:szCs w:val="22"/>
        </w:rPr>
        <w:t>tatutory and government purposes</w:t>
      </w:r>
      <w:r>
        <w:rPr>
          <w:color w:val="1F1F24"/>
          <w:szCs w:val="22"/>
        </w:rPr>
        <w:t>.</w:t>
      </w:r>
    </w:p>
    <w:p w14:paraId="58EB459F" w14:textId="3CE86B91" w:rsidR="00675CA1" w:rsidRPr="00675CA1" w:rsidRDefault="00675CA1" w:rsidP="00675CA1">
      <w:pPr>
        <w:pStyle w:val="Untitledsubclause2"/>
        <w:rPr>
          <w:sz w:val="23"/>
          <w:szCs w:val="23"/>
        </w:rPr>
      </w:pPr>
      <w:r>
        <w:rPr>
          <w:color w:val="1F1F24"/>
          <w:szCs w:val="22"/>
        </w:rPr>
        <w:t>Safeguarding of children and of individuals at risk.</w:t>
      </w:r>
    </w:p>
    <w:p w14:paraId="4D6E952E" w14:textId="56B6258A" w:rsidR="00675CA1" w:rsidRPr="00675CA1" w:rsidRDefault="000546CE" w:rsidP="000546CE">
      <w:pPr>
        <w:pStyle w:val="Untitledsubclause2"/>
        <w:rPr>
          <w:sz w:val="23"/>
          <w:szCs w:val="23"/>
        </w:rPr>
      </w:pPr>
      <w:r w:rsidRPr="00675CA1">
        <w:rPr>
          <w:color w:val="1F1F24"/>
          <w:szCs w:val="22"/>
        </w:rPr>
        <w:t>Administration of justice and parliamentary purposes</w:t>
      </w:r>
      <w:r w:rsidR="00675CA1">
        <w:rPr>
          <w:color w:val="1F1F24"/>
          <w:szCs w:val="22"/>
        </w:rPr>
        <w:t>.</w:t>
      </w:r>
    </w:p>
    <w:p w14:paraId="2F5EA909" w14:textId="1CB63E7B" w:rsidR="000546CE" w:rsidRPr="00675CA1" w:rsidRDefault="000546CE" w:rsidP="000546CE">
      <w:pPr>
        <w:pStyle w:val="Untitledsubclause2"/>
        <w:rPr>
          <w:sz w:val="23"/>
          <w:szCs w:val="23"/>
        </w:rPr>
      </w:pPr>
      <w:r w:rsidRPr="00675CA1">
        <w:rPr>
          <w:color w:val="1F1F24"/>
          <w:szCs w:val="22"/>
        </w:rPr>
        <w:t>Preventing or detecting unlawful acts</w:t>
      </w:r>
      <w:r w:rsidR="00675CA1">
        <w:rPr>
          <w:color w:val="1F1F24"/>
          <w:szCs w:val="22"/>
        </w:rPr>
        <w:t>.</w:t>
      </w:r>
    </w:p>
    <w:p w14:paraId="37F3C8FD" w14:textId="68DEABB7" w:rsidR="00E26DAA" w:rsidRDefault="00675CA1" w:rsidP="00E26DAA">
      <w:pPr>
        <w:pStyle w:val="Untitledsubclause1"/>
        <w:rPr>
          <w:sz w:val="23"/>
          <w:szCs w:val="23"/>
        </w:rPr>
      </w:pPr>
      <w:r w:rsidRPr="00675CA1">
        <w:rPr>
          <w:sz w:val="23"/>
          <w:szCs w:val="23"/>
        </w:rPr>
        <w:t>Schedule 1 DPA conditions for processing special category data require</w:t>
      </w:r>
      <w:r>
        <w:rPr>
          <w:sz w:val="23"/>
          <w:szCs w:val="23"/>
        </w:rPr>
        <w:t xml:space="preserve"> Cumbria Constabulary</w:t>
      </w:r>
      <w:r w:rsidRPr="00675CA1">
        <w:rPr>
          <w:sz w:val="23"/>
          <w:szCs w:val="23"/>
        </w:rPr>
        <w:t xml:space="preserve"> to have an appropriate policy document in place, setting out and explaining our procedures for securing compliance with the principles in Article 5 of the UK-GDPR. This document allows the public to understand the details of:</w:t>
      </w:r>
    </w:p>
    <w:p w14:paraId="01AA5160" w14:textId="77777777" w:rsidR="00E26DAA" w:rsidRDefault="00675CA1" w:rsidP="00E26DAA">
      <w:pPr>
        <w:pStyle w:val="Untitledsubclause2"/>
        <w:rPr>
          <w:sz w:val="23"/>
          <w:szCs w:val="23"/>
        </w:rPr>
      </w:pPr>
      <w:r w:rsidRPr="00E26DAA">
        <w:rPr>
          <w:sz w:val="23"/>
          <w:szCs w:val="23"/>
        </w:rPr>
        <w:t xml:space="preserve">the data being processed by the LFR system, how often it is processed and whose data is </w:t>
      </w:r>
      <w:proofErr w:type="gramStart"/>
      <w:r w:rsidRPr="00E26DAA">
        <w:rPr>
          <w:sz w:val="23"/>
          <w:szCs w:val="23"/>
        </w:rPr>
        <w:t>processed;</w:t>
      </w:r>
      <w:proofErr w:type="gramEnd"/>
      <w:r w:rsidRPr="00E26DAA">
        <w:rPr>
          <w:sz w:val="23"/>
          <w:szCs w:val="23"/>
        </w:rPr>
        <w:t xml:space="preserve"> </w:t>
      </w:r>
    </w:p>
    <w:p w14:paraId="050E61B2" w14:textId="77777777" w:rsidR="00E26DAA" w:rsidRDefault="00675CA1" w:rsidP="00E26DAA">
      <w:pPr>
        <w:pStyle w:val="Untitledsubclause2"/>
        <w:rPr>
          <w:sz w:val="23"/>
          <w:szCs w:val="23"/>
        </w:rPr>
      </w:pPr>
      <w:r w:rsidRPr="00E26DAA">
        <w:rPr>
          <w:sz w:val="23"/>
          <w:szCs w:val="23"/>
        </w:rPr>
        <w:t xml:space="preserve">the procedures, safeguards and accountability principles for complying with the data protection principles when relying on a condition from Article 9 to process biometric personal data for those on the Watchlist and those passing the LFR system. </w:t>
      </w:r>
    </w:p>
    <w:p w14:paraId="5D87897F" w14:textId="44EF2123" w:rsidR="000546CE" w:rsidRPr="00E26DAA" w:rsidRDefault="00E26DAA" w:rsidP="00E26DAA">
      <w:pPr>
        <w:pStyle w:val="Untitledsubclause2"/>
        <w:rPr>
          <w:sz w:val="23"/>
          <w:szCs w:val="23"/>
        </w:rPr>
      </w:pPr>
      <w:r>
        <w:rPr>
          <w:sz w:val="23"/>
          <w:szCs w:val="23"/>
        </w:rPr>
        <w:lastRenderedPageBreak/>
        <w:t>Cumbria Constabulary</w:t>
      </w:r>
      <w:r w:rsidR="00675CA1" w:rsidRPr="00E26DAA">
        <w:rPr>
          <w:sz w:val="23"/>
          <w:szCs w:val="23"/>
        </w:rPr>
        <w:t xml:space="preserve"> policy for the retention and erasure of personal data for LFR processing.</w:t>
      </w:r>
    </w:p>
    <w:p w14:paraId="4422A5A1" w14:textId="29993914" w:rsidR="009C4200" w:rsidRDefault="009C4200" w:rsidP="009C4200">
      <w:pPr>
        <w:pStyle w:val="TitleClause"/>
        <w:rPr>
          <w:sz w:val="23"/>
          <w:szCs w:val="23"/>
        </w:rPr>
      </w:pPr>
      <w:bookmarkStart w:id="10" w:name="_Toc219888753"/>
      <w:r>
        <w:rPr>
          <w:sz w:val="23"/>
          <w:szCs w:val="23"/>
        </w:rPr>
        <w:t>Protection of Freedoms Act 2012</w:t>
      </w:r>
      <w:bookmarkEnd w:id="10"/>
    </w:p>
    <w:p w14:paraId="46EF7DDA" w14:textId="35DA5573" w:rsidR="009C4200" w:rsidRDefault="00E14930" w:rsidP="00E14930">
      <w:pPr>
        <w:pStyle w:val="Untitledsubclause1"/>
        <w:rPr>
          <w:sz w:val="23"/>
          <w:szCs w:val="23"/>
        </w:rPr>
      </w:pPr>
      <w:r w:rsidRPr="00E14930">
        <w:rPr>
          <w:sz w:val="23"/>
          <w:szCs w:val="23"/>
        </w:rPr>
        <w:t>The Protection of Freedoms Act 2012 (</w:t>
      </w:r>
      <w:r>
        <w:rPr>
          <w:sz w:val="23"/>
          <w:szCs w:val="23"/>
        </w:rPr>
        <w:t>“</w:t>
      </w:r>
      <w:proofErr w:type="spellStart"/>
      <w:r w:rsidRPr="004576A6">
        <w:rPr>
          <w:b/>
          <w:bCs/>
          <w:sz w:val="23"/>
          <w:szCs w:val="23"/>
        </w:rPr>
        <w:t>PoFA</w:t>
      </w:r>
      <w:proofErr w:type="spellEnd"/>
      <w:r>
        <w:rPr>
          <w:sz w:val="23"/>
          <w:szCs w:val="23"/>
        </w:rPr>
        <w:t>”</w:t>
      </w:r>
      <w:r w:rsidRPr="00E14930">
        <w:rPr>
          <w:sz w:val="23"/>
          <w:szCs w:val="23"/>
        </w:rPr>
        <w:t>) has seen the introduction of a surveillance camera code issued by the Secretary of State (</w:t>
      </w:r>
      <w:r w:rsidR="009D15DA">
        <w:rPr>
          <w:sz w:val="23"/>
          <w:szCs w:val="23"/>
        </w:rPr>
        <w:t>“</w:t>
      </w:r>
      <w:r w:rsidRPr="00E14930">
        <w:rPr>
          <w:sz w:val="23"/>
          <w:szCs w:val="23"/>
        </w:rPr>
        <w:t xml:space="preserve">the </w:t>
      </w:r>
      <w:r w:rsidRPr="009D15DA">
        <w:rPr>
          <w:b/>
          <w:bCs/>
          <w:sz w:val="23"/>
          <w:szCs w:val="23"/>
        </w:rPr>
        <w:t>Code</w:t>
      </w:r>
      <w:r w:rsidR="009D15DA">
        <w:rPr>
          <w:sz w:val="23"/>
          <w:szCs w:val="23"/>
        </w:rPr>
        <w:t>”</w:t>
      </w:r>
      <w:r w:rsidRPr="00E14930">
        <w:rPr>
          <w:sz w:val="23"/>
          <w:szCs w:val="23"/>
        </w:rPr>
        <w:t xml:space="preserve">) and the appointment of a Surveillance Camera Commissioner. Section 33(1) </w:t>
      </w:r>
      <w:proofErr w:type="spellStart"/>
      <w:r w:rsidRPr="00E14930">
        <w:rPr>
          <w:sz w:val="23"/>
          <w:szCs w:val="23"/>
        </w:rPr>
        <w:t>PoFA</w:t>
      </w:r>
      <w:proofErr w:type="spellEnd"/>
      <w:r w:rsidRPr="00E14930">
        <w:rPr>
          <w:sz w:val="23"/>
          <w:szCs w:val="23"/>
        </w:rPr>
        <w:t xml:space="preserve"> requires </w:t>
      </w:r>
      <w:r>
        <w:rPr>
          <w:sz w:val="23"/>
          <w:szCs w:val="23"/>
        </w:rPr>
        <w:t>Cumbria Constabulary</w:t>
      </w:r>
      <w:r w:rsidRPr="00E14930">
        <w:rPr>
          <w:sz w:val="23"/>
          <w:szCs w:val="23"/>
        </w:rPr>
        <w:t xml:space="preserve"> to have regard to the Code for the use of LFR. This includes compliance with the 12 guiding principles that system operators should adopt. The Code makes </w:t>
      </w:r>
      <w:proofErr w:type="gramStart"/>
      <w:r w:rsidRPr="00E14930">
        <w:rPr>
          <w:sz w:val="23"/>
          <w:szCs w:val="23"/>
        </w:rPr>
        <w:t>a number of</w:t>
      </w:r>
      <w:proofErr w:type="gramEnd"/>
      <w:r w:rsidRPr="00E14930">
        <w:rPr>
          <w:sz w:val="23"/>
          <w:szCs w:val="23"/>
        </w:rPr>
        <w:t xml:space="preserve"> specific points in relation to automated recognition technologies which </w:t>
      </w:r>
      <w:r>
        <w:rPr>
          <w:sz w:val="23"/>
          <w:szCs w:val="23"/>
        </w:rPr>
        <w:t xml:space="preserve">Cumbria Constabulary </w:t>
      </w:r>
      <w:r w:rsidRPr="00E14930">
        <w:rPr>
          <w:sz w:val="23"/>
          <w:szCs w:val="23"/>
        </w:rPr>
        <w:t>have regard to as follows:</w:t>
      </w:r>
    </w:p>
    <w:tbl>
      <w:tblPr>
        <w:tblStyle w:val="TableGrid"/>
        <w:tblW w:w="0" w:type="auto"/>
        <w:tblInd w:w="720" w:type="dxa"/>
        <w:tblLook w:val="04A0" w:firstRow="1" w:lastRow="0" w:firstColumn="1" w:lastColumn="0" w:noHBand="0" w:noVBand="1"/>
      </w:tblPr>
      <w:tblGrid>
        <w:gridCol w:w="4314"/>
        <w:gridCol w:w="4316"/>
      </w:tblGrid>
      <w:tr w:rsidR="00E14930" w14:paraId="76C7B7F2" w14:textId="77777777" w:rsidTr="00E26DAA">
        <w:tc>
          <w:tcPr>
            <w:tcW w:w="4314" w:type="dxa"/>
            <w:shd w:val="clear" w:color="auto" w:fill="DBE5F1" w:themeFill="accent1" w:themeFillTint="33"/>
          </w:tcPr>
          <w:p w14:paraId="5E84437B" w14:textId="220C2095" w:rsidR="00E14930" w:rsidRPr="00E26DAA" w:rsidRDefault="00E14930" w:rsidP="00E14930">
            <w:pPr>
              <w:pStyle w:val="Untitledsubclause1"/>
              <w:numPr>
                <w:ilvl w:val="0"/>
                <w:numId w:val="0"/>
              </w:numPr>
              <w:rPr>
                <w:b/>
                <w:bCs/>
                <w:sz w:val="23"/>
                <w:szCs w:val="23"/>
              </w:rPr>
            </w:pPr>
            <w:r w:rsidRPr="00E26DAA">
              <w:rPr>
                <w:b/>
                <w:bCs/>
                <w:sz w:val="23"/>
                <w:szCs w:val="23"/>
              </w:rPr>
              <w:t>Code</w:t>
            </w:r>
          </w:p>
        </w:tc>
        <w:tc>
          <w:tcPr>
            <w:tcW w:w="4316" w:type="dxa"/>
            <w:shd w:val="clear" w:color="auto" w:fill="DBE5F1" w:themeFill="accent1" w:themeFillTint="33"/>
          </w:tcPr>
          <w:p w14:paraId="131DBC26" w14:textId="6ED0EEC9" w:rsidR="00E14930" w:rsidRPr="00E26DAA" w:rsidRDefault="00E14930" w:rsidP="00E14930">
            <w:pPr>
              <w:pStyle w:val="Untitledsubclause1"/>
              <w:numPr>
                <w:ilvl w:val="0"/>
                <w:numId w:val="0"/>
              </w:numPr>
              <w:rPr>
                <w:b/>
                <w:bCs/>
                <w:sz w:val="23"/>
                <w:szCs w:val="23"/>
              </w:rPr>
            </w:pPr>
            <w:r w:rsidRPr="00E26DAA">
              <w:rPr>
                <w:b/>
                <w:bCs/>
                <w:sz w:val="23"/>
                <w:szCs w:val="23"/>
              </w:rPr>
              <w:t>Approach</w:t>
            </w:r>
          </w:p>
        </w:tc>
      </w:tr>
      <w:tr w:rsidR="00E14930" w14:paraId="4E76B3EC" w14:textId="77777777" w:rsidTr="00E14930">
        <w:tc>
          <w:tcPr>
            <w:tcW w:w="4314" w:type="dxa"/>
          </w:tcPr>
          <w:p w14:paraId="66E8BD51" w14:textId="60190231" w:rsidR="00E14930" w:rsidRDefault="00E14930" w:rsidP="00E14930">
            <w:pPr>
              <w:pStyle w:val="Untitledsubclause1"/>
              <w:numPr>
                <w:ilvl w:val="0"/>
                <w:numId w:val="0"/>
              </w:numPr>
              <w:rPr>
                <w:sz w:val="23"/>
                <w:szCs w:val="23"/>
              </w:rPr>
            </w:pPr>
            <w:r w:rsidRPr="00E14930">
              <w:rPr>
                <w:sz w:val="23"/>
                <w:szCs w:val="23"/>
              </w:rPr>
              <w:t>Fair processing information to data subjects</w:t>
            </w:r>
          </w:p>
        </w:tc>
        <w:tc>
          <w:tcPr>
            <w:tcW w:w="4316" w:type="dxa"/>
          </w:tcPr>
          <w:p w14:paraId="09B3B6C1" w14:textId="5D716748" w:rsidR="00E14930" w:rsidRDefault="00E14930" w:rsidP="00E14930">
            <w:pPr>
              <w:pStyle w:val="Untitledsubclause1"/>
              <w:numPr>
                <w:ilvl w:val="0"/>
                <w:numId w:val="0"/>
              </w:numPr>
              <w:rPr>
                <w:sz w:val="23"/>
                <w:szCs w:val="23"/>
              </w:rPr>
            </w:pPr>
            <w:r>
              <w:rPr>
                <w:sz w:val="23"/>
                <w:szCs w:val="23"/>
              </w:rPr>
              <w:t>Cumbria Constabulary</w:t>
            </w:r>
            <w:r w:rsidRPr="00E14930">
              <w:rPr>
                <w:sz w:val="23"/>
                <w:szCs w:val="23"/>
              </w:rPr>
              <w:t xml:space="preserve"> processing information </w:t>
            </w:r>
            <w:r w:rsidR="00E26DAA" w:rsidRPr="00E14930">
              <w:rPr>
                <w:sz w:val="23"/>
                <w:szCs w:val="23"/>
              </w:rPr>
              <w:t>publicly</w:t>
            </w:r>
            <w:r w:rsidRPr="00E14930">
              <w:rPr>
                <w:sz w:val="23"/>
                <w:szCs w:val="23"/>
              </w:rPr>
              <w:t xml:space="preserve"> available to data subjects. It makes information relating to the LFR and data processing available via its website. The LFR Deployments are </w:t>
            </w:r>
            <w:r w:rsidR="00E26DAA" w:rsidRPr="00E14930">
              <w:rPr>
                <w:sz w:val="23"/>
                <w:szCs w:val="23"/>
              </w:rPr>
              <w:t>publicly</w:t>
            </w:r>
            <w:r w:rsidRPr="00E14930">
              <w:rPr>
                <w:sz w:val="23"/>
                <w:szCs w:val="23"/>
              </w:rPr>
              <w:t xml:space="preserve"> disclosed with supporting information</w:t>
            </w:r>
          </w:p>
        </w:tc>
      </w:tr>
      <w:tr w:rsidR="00E14930" w14:paraId="509D7D64" w14:textId="77777777" w:rsidTr="00E14930">
        <w:tc>
          <w:tcPr>
            <w:tcW w:w="4314" w:type="dxa"/>
          </w:tcPr>
          <w:p w14:paraId="3AE14C36" w14:textId="3E578356" w:rsidR="00E14930" w:rsidRDefault="00E14930" w:rsidP="00E14930">
            <w:pPr>
              <w:pStyle w:val="Untitledsubclause1"/>
              <w:numPr>
                <w:ilvl w:val="0"/>
                <w:numId w:val="0"/>
              </w:numPr>
              <w:rPr>
                <w:sz w:val="23"/>
                <w:szCs w:val="23"/>
              </w:rPr>
            </w:pPr>
            <w:r w:rsidRPr="00E14930">
              <w:rPr>
                <w:sz w:val="23"/>
                <w:szCs w:val="23"/>
              </w:rPr>
              <w:t>Appropriate retention and disposal systems</w:t>
            </w:r>
          </w:p>
        </w:tc>
        <w:tc>
          <w:tcPr>
            <w:tcW w:w="4316" w:type="dxa"/>
          </w:tcPr>
          <w:p w14:paraId="70358789" w14:textId="56F093A7" w:rsidR="00E14930" w:rsidRDefault="00E14930" w:rsidP="00E14930">
            <w:pPr>
              <w:pStyle w:val="Untitledsubclause1"/>
              <w:numPr>
                <w:ilvl w:val="0"/>
                <w:numId w:val="0"/>
              </w:numPr>
              <w:rPr>
                <w:sz w:val="23"/>
                <w:szCs w:val="23"/>
              </w:rPr>
            </w:pPr>
            <w:r>
              <w:rPr>
                <w:sz w:val="23"/>
                <w:szCs w:val="23"/>
              </w:rPr>
              <w:t>The necessary systems are addressed in the Cumbria Constabulary LFR Documents</w:t>
            </w:r>
          </w:p>
        </w:tc>
      </w:tr>
      <w:tr w:rsidR="00E14930" w14:paraId="0BBAD1F6" w14:textId="77777777" w:rsidTr="00E14930">
        <w:tc>
          <w:tcPr>
            <w:tcW w:w="4314" w:type="dxa"/>
          </w:tcPr>
          <w:p w14:paraId="44E05173" w14:textId="4205A0F2" w:rsidR="00E14930" w:rsidRDefault="00E14930" w:rsidP="00E14930">
            <w:pPr>
              <w:pStyle w:val="Untitledsubclause1"/>
              <w:numPr>
                <w:ilvl w:val="0"/>
                <w:numId w:val="0"/>
              </w:numPr>
              <w:rPr>
                <w:sz w:val="23"/>
                <w:szCs w:val="23"/>
              </w:rPr>
            </w:pPr>
            <w:r w:rsidRPr="00E14930">
              <w:rPr>
                <w:sz w:val="23"/>
                <w:szCs w:val="23"/>
              </w:rPr>
              <w:t>Suitable technological and physical security measures</w:t>
            </w:r>
          </w:p>
        </w:tc>
        <w:tc>
          <w:tcPr>
            <w:tcW w:w="4316" w:type="dxa"/>
          </w:tcPr>
          <w:p w14:paraId="6CA186BC" w14:textId="463C35C8" w:rsidR="00E14930" w:rsidRDefault="00E14930" w:rsidP="00E14930">
            <w:pPr>
              <w:pStyle w:val="Untitledsubclause1"/>
              <w:numPr>
                <w:ilvl w:val="0"/>
                <w:numId w:val="0"/>
              </w:numPr>
              <w:rPr>
                <w:sz w:val="23"/>
                <w:szCs w:val="23"/>
              </w:rPr>
            </w:pPr>
            <w:r>
              <w:rPr>
                <w:sz w:val="23"/>
                <w:szCs w:val="23"/>
              </w:rPr>
              <w:t>T</w:t>
            </w:r>
            <w:r w:rsidRPr="00E14930">
              <w:rPr>
                <w:sz w:val="23"/>
                <w:szCs w:val="23"/>
              </w:rPr>
              <w:t xml:space="preserve">hese measures have been addressed by design and are also covered in </w:t>
            </w:r>
            <w:r>
              <w:rPr>
                <w:sz w:val="23"/>
                <w:szCs w:val="23"/>
              </w:rPr>
              <w:t>the Cumbria Constabulary</w:t>
            </w:r>
            <w:r w:rsidRPr="00E14930">
              <w:rPr>
                <w:sz w:val="23"/>
                <w:szCs w:val="23"/>
              </w:rPr>
              <w:t xml:space="preserve"> LFR Documents</w:t>
            </w:r>
          </w:p>
        </w:tc>
      </w:tr>
      <w:tr w:rsidR="00E14930" w14:paraId="39E58B7E" w14:textId="77777777" w:rsidTr="00E14930">
        <w:tc>
          <w:tcPr>
            <w:tcW w:w="4314" w:type="dxa"/>
          </w:tcPr>
          <w:p w14:paraId="2C3112F7" w14:textId="1CA94829" w:rsidR="00E14930" w:rsidRPr="00E14930" w:rsidRDefault="00E14930" w:rsidP="00E14930">
            <w:pPr>
              <w:pStyle w:val="Untitledsubclause1"/>
              <w:numPr>
                <w:ilvl w:val="0"/>
                <w:numId w:val="0"/>
              </w:numPr>
              <w:rPr>
                <w:sz w:val="23"/>
                <w:szCs w:val="23"/>
              </w:rPr>
            </w:pPr>
            <w:r>
              <w:rPr>
                <w:sz w:val="23"/>
                <w:szCs w:val="23"/>
              </w:rPr>
              <w:t>Cameras of sufficient quality to meet the intended purpose</w:t>
            </w:r>
          </w:p>
        </w:tc>
        <w:tc>
          <w:tcPr>
            <w:tcW w:w="4316" w:type="dxa"/>
          </w:tcPr>
          <w:p w14:paraId="71B14D0B" w14:textId="45F072B6" w:rsidR="00E14930" w:rsidRDefault="00E14930" w:rsidP="00E14930">
            <w:pPr>
              <w:pStyle w:val="Untitledsubclause1"/>
              <w:numPr>
                <w:ilvl w:val="0"/>
                <w:numId w:val="0"/>
              </w:numPr>
              <w:rPr>
                <w:sz w:val="23"/>
                <w:szCs w:val="23"/>
              </w:rPr>
            </w:pPr>
            <w:r>
              <w:rPr>
                <w:sz w:val="23"/>
                <w:szCs w:val="23"/>
              </w:rPr>
              <w:t>T</w:t>
            </w:r>
            <w:r w:rsidRPr="00E14930">
              <w:rPr>
                <w:sz w:val="23"/>
                <w:szCs w:val="23"/>
              </w:rPr>
              <w:t>his requirement is addressed by the design of the LFR system</w:t>
            </w:r>
          </w:p>
        </w:tc>
      </w:tr>
      <w:tr w:rsidR="00E14930" w14:paraId="5E750ED3" w14:textId="77777777" w:rsidTr="00E14930">
        <w:tc>
          <w:tcPr>
            <w:tcW w:w="4314" w:type="dxa"/>
          </w:tcPr>
          <w:p w14:paraId="13ABCA46" w14:textId="7B5C3898" w:rsidR="00E14930" w:rsidRPr="00E14930" w:rsidRDefault="00E14930" w:rsidP="00E14930">
            <w:pPr>
              <w:pStyle w:val="Untitledsubclause1"/>
              <w:numPr>
                <w:ilvl w:val="0"/>
                <w:numId w:val="0"/>
              </w:numPr>
              <w:rPr>
                <w:sz w:val="23"/>
                <w:szCs w:val="23"/>
              </w:rPr>
            </w:pPr>
            <w:r w:rsidRPr="00E14930">
              <w:rPr>
                <w:sz w:val="23"/>
                <w:szCs w:val="23"/>
              </w:rPr>
              <w:t>Monitored by trained individuals</w:t>
            </w:r>
            <w:r>
              <w:rPr>
                <w:sz w:val="23"/>
                <w:szCs w:val="23"/>
              </w:rPr>
              <w:t xml:space="preserve"> and some level of human interaction</w:t>
            </w:r>
          </w:p>
        </w:tc>
        <w:tc>
          <w:tcPr>
            <w:tcW w:w="4316" w:type="dxa"/>
          </w:tcPr>
          <w:p w14:paraId="407B8A4A" w14:textId="62941D14" w:rsidR="00E14930" w:rsidRDefault="00E14930" w:rsidP="00E14930">
            <w:pPr>
              <w:pStyle w:val="Untitledsubclause1"/>
              <w:numPr>
                <w:ilvl w:val="0"/>
                <w:numId w:val="0"/>
              </w:numPr>
              <w:rPr>
                <w:sz w:val="23"/>
                <w:szCs w:val="23"/>
              </w:rPr>
            </w:pPr>
            <w:r w:rsidRPr="00E14930">
              <w:rPr>
                <w:sz w:val="23"/>
                <w:szCs w:val="23"/>
              </w:rPr>
              <w:t xml:space="preserve">The LFR system will always flag possible matches to a trained member of personnel for a decision on any further action. In this way, the LFR system works to assist personnel to make identifications rather than acting as an </w:t>
            </w:r>
            <w:r w:rsidRPr="00E14930">
              <w:rPr>
                <w:sz w:val="23"/>
                <w:szCs w:val="23"/>
              </w:rPr>
              <w:lastRenderedPageBreak/>
              <w:t>autonomous machine-based process devoid of user input</w:t>
            </w:r>
          </w:p>
        </w:tc>
      </w:tr>
    </w:tbl>
    <w:p w14:paraId="7FF3C35D" w14:textId="68932333" w:rsidR="00E14930" w:rsidRDefault="00E14930" w:rsidP="00E14930">
      <w:pPr>
        <w:pStyle w:val="TitleClause"/>
        <w:rPr>
          <w:sz w:val="23"/>
          <w:szCs w:val="23"/>
        </w:rPr>
      </w:pPr>
      <w:bookmarkStart w:id="11" w:name="_Toc219888754"/>
      <w:r>
        <w:rPr>
          <w:sz w:val="23"/>
          <w:szCs w:val="23"/>
        </w:rPr>
        <w:lastRenderedPageBreak/>
        <w:t>Freedom of Information Act 2000</w:t>
      </w:r>
      <w:bookmarkEnd w:id="11"/>
    </w:p>
    <w:p w14:paraId="20C91AFD" w14:textId="77777777" w:rsidR="00E14930" w:rsidRDefault="00E14930" w:rsidP="00E14930">
      <w:pPr>
        <w:pStyle w:val="Untitledsubclause1"/>
        <w:rPr>
          <w:sz w:val="23"/>
          <w:szCs w:val="23"/>
        </w:rPr>
      </w:pPr>
      <w:r w:rsidRPr="00E14930">
        <w:rPr>
          <w:sz w:val="23"/>
          <w:szCs w:val="23"/>
        </w:rPr>
        <w:t>The Freedom of Information Act 2000 (</w:t>
      </w:r>
      <w:r>
        <w:rPr>
          <w:sz w:val="23"/>
          <w:szCs w:val="23"/>
        </w:rPr>
        <w:t>“</w:t>
      </w:r>
      <w:r w:rsidRPr="009D15DA">
        <w:rPr>
          <w:b/>
          <w:bCs/>
          <w:sz w:val="23"/>
          <w:szCs w:val="23"/>
        </w:rPr>
        <w:t>FOIA</w:t>
      </w:r>
      <w:r>
        <w:rPr>
          <w:sz w:val="23"/>
          <w:szCs w:val="23"/>
        </w:rPr>
        <w:t>”</w:t>
      </w:r>
      <w:r w:rsidRPr="00E14930">
        <w:rPr>
          <w:sz w:val="23"/>
          <w:szCs w:val="23"/>
        </w:rPr>
        <w:t>) provides public access to information held by public authorities. It does this in two ways:</w:t>
      </w:r>
    </w:p>
    <w:p w14:paraId="7AE857F0" w14:textId="786B537F" w:rsidR="00E14930" w:rsidRDefault="00E14930" w:rsidP="00E14930">
      <w:pPr>
        <w:pStyle w:val="Untitledsubclause2"/>
        <w:rPr>
          <w:sz w:val="23"/>
          <w:szCs w:val="23"/>
        </w:rPr>
      </w:pPr>
      <w:r w:rsidRPr="00E14930">
        <w:rPr>
          <w:sz w:val="23"/>
          <w:szCs w:val="23"/>
        </w:rPr>
        <w:t>public authorities are obliged to publish certain information about their activities;</w:t>
      </w:r>
      <w:r w:rsidR="00B855B1">
        <w:rPr>
          <w:sz w:val="23"/>
          <w:szCs w:val="23"/>
        </w:rPr>
        <w:t xml:space="preserve"> and</w:t>
      </w:r>
    </w:p>
    <w:p w14:paraId="3647D5CD" w14:textId="77777777" w:rsidR="00E14930" w:rsidRDefault="00E14930" w:rsidP="00E14930">
      <w:pPr>
        <w:pStyle w:val="Untitledsubclause2"/>
        <w:rPr>
          <w:sz w:val="23"/>
          <w:szCs w:val="23"/>
        </w:rPr>
      </w:pPr>
      <w:r w:rsidRPr="00E14930">
        <w:rPr>
          <w:sz w:val="23"/>
          <w:szCs w:val="23"/>
        </w:rPr>
        <w:t>members of the public are entitled to request information from public authorities.</w:t>
      </w:r>
    </w:p>
    <w:p w14:paraId="50BA7816" w14:textId="6C7ACE25" w:rsidR="00E14930" w:rsidRPr="00E14930" w:rsidRDefault="00E14930" w:rsidP="00501386">
      <w:pPr>
        <w:pStyle w:val="Untitledsubclause1"/>
        <w:rPr>
          <w:sz w:val="23"/>
          <w:szCs w:val="23"/>
        </w:rPr>
      </w:pPr>
      <w:r w:rsidRPr="00E14930">
        <w:rPr>
          <w:sz w:val="23"/>
          <w:szCs w:val="23"/>
        </w:rPr>
        <w:t xml:space="preserve">In recognition of its FOIA duties, </w:t>
      </w:r>
      <w:r>
        <w:rPr>
          <w:sz w:val="23"/>
          <w:szCs w:val="23"/>
        </w:rPr>
        <w:t>Cumbria Constabulary</w:t>
      </w:r>
      <w:r w:rsidRPr="00E14930">
        <w:rPr>
          <w:sz w:val="23"/>
          <w:szCs w:val="23"/>
        </w:rPr>
        <w:t xml:space="preserve"> </w:t>
      </w:r>
      <w:r>
        <w:rPr>
          <w:sz w:val="23"/>
          <w:szCs w:val="23"/>
        </w:rPr>
        <w:t>will make</w:t>
      </w:r>
      <w:r w:rsidRPr="00E14930">
        <w:rPr>
          <w:sz w:val="23"/>
          <w:szCs w:val="23"/>
        </w:rPr>
        <w:t xml:space="preserve"> significant LFR information available via its website. This includes summary information relating to LFR Deployments including the Watchlist size, the total number of Alerts, positive action and incorrect identification numbers, arrests and disposal numbers and estimates of the total number of faces seen as people passed the LFR system. </w:t>
      </w:r>
      <w:r>
        <w:rPr>
          <w:sz w:val="23"/>
          <w:szCs w:val="23"/>
        </w:rPr>
        <w:t>Cumbria Constabulary</w:t>
      </w:r>
      <w:r w:rsidRPr="00E14930">
        <w:rPr>
          <w:sz w:val="23"/>
          <w:szCs w:val="23"/>
        </w:rPr>
        <w:t xml:space="preserve"> </w:t>
      </w:r>
      <w:r>
        <w:rPr>
          <w:sz w:val="23"/>
          <w:szCs w:val="23"/>
        </w:rPr>
        <w:t xml:space="preserve">also has processes in place to respond </w:t>
      </w:r>
      <w:r w:rsidR="00B855B1">
        <w:rPr>
          <w:sz w:val="23"/>
          <w:szCs w:val="23"/>
        </w:rPr>
        <w:t>to and</w:t>
      </w:r>
      <w:r>
        <w:rPr>
          <w:sz w:val="23"/>
          <w:szCs w:val="23"/>
        </w:rPr>
        <w:t xml:space="preserve"> </w:t>
      </w:r>
      <w:r w:rsidRPr="00E14930">
        <w:rPr>
          <w:sz w:val="23"/>
          <w:szCs w:val="23"/>
        </w:rPr>
        <w:t>will be responsive to FOIA requests.</w:t>
      </w:r>
    </w:p>
    <w:p w14:paraId="6C2412FC" w14:textId="77777777" w:rsidR="00DA05CF" w:rsidRDefault="00DA05CF" w:rsidP="00DA05CF">
      <w:pPr>
        <w:pStyle w:val="Untitledsubclause2"/>
        <w:numPr>
          <w:ilvl w:val="0"/>
          <w:numId w:val="0"/>
        </w:numPr>
        <w:ind w:left="994"/>
        <w:rPr>
          <w:sz w:val="23"/>
          <w:szCs w:val="23"/>
        </w:rPr>
      </w:pPr>
    </w:p>
    <w:p w14:paraId="7D31302E" w14:textId="77777777" w:rsidR="00DA05CF" w:rsidRDefault="00DA05CF" w:rsidP="00DA05CF">
      <w:pPr>
        <w:pStyle w:val="Untitledsubclause2"/>
        <w:numPr>
          <w:ilvl w:val="0"/>
          <w:numId w:val="0"/>
        </w:numPr>
        <w:ind w:left="994"/>
        <w:rPr>
          <w:sz w:val="23"/>
          <w:szCs w:val="23"/>
        </w:rPr>
      </w:pPr>
    </w:p>
    <w:p w14:paraId="6F727DBE" w14:textId="77777777" w:rsidR="00DA05CF" w:rsidRPr="001A542D" w:rsidRDefault="00DA05CF" w:rsidP="00DA05CF">
      <w:pPr>
        <w:pStyle w:val="Untitledsubclause2"/>
        <w:numPr>
          <w:ilvl w:val="0"/>
          <w:numId w:val="0"/>
        </w:numPr>
        <w:ind w:left="994"/>
        <w:rPr>
          <w:sz w:val="23"/>
          <w:szCs w:val="23"/>
        </w:rPr>
      </w:pPr>
    </w:p>
    <w:p w14:paraId="1DF4B928" w14:textId="64630AAC" w:rsidR="002333CF" w:rsidRPr="001A542D" w:rsidRDefault="002333CF">
      <w:pPr>
        <w:rPr>
          <w:rFonts w:ascii="Arial" w:hAnsi="Arial" w:cs="Arial"/>
          <w:sz w:val="23"/>
          <w:szCs w:val="23"/>
        </w:rPr>
      </w:pPr>
    </w:p>
    <w:p w14:paraId="1E86E7F8" w14:textId="77777777" w:rsidR="00884572" w:rsidRPr="001A542D" w:rsidRDefault="00884572">
      <w:pPr>
        <w:rPr>
          <w:rFonts w:ascii="Arial" w:hAnsi="Arial" w:cs="Arial"/>
          <w:sz w:val="23"/>
          <w:szCs w:val="23"/>
        </w:rPr>
      </w:pPr>
    </w:p>
    <w:p w14:paraId="4C030088" w14:textId="7C0E6A1D" w:rsidR="00884572" w:rsidRPr="001A542D" w:rsidRDefault="00215AE6">
      <w:pPr>
        <w:rPr>
          <w:rFonts w:ascii="Arial" w:hAnsi="Arial" w:cs="Arial"/>
          <w:sz w:val="23"/>
          <w:szCs w:val="23"/>
        </w:rPr>
      </w:pPr>
      <w:r w:rsidRPr="001A542D">
        <w:rPr>
          <w:rFonts w:ascii="Arial" w:hAnsi="Arial" w:cs="Arial"/>
          <w:noProof/>
          <w:sz w:val="23"/>
          <w:szCs w:val="23"/>
          <w14:ligatures w14:val="none"/>
        </w:rPr>
        <mc:AlternateContent>
          <mc:Choice Requires="wpi">
            <w:drawing>
              <wp:anchor distT="0" distB="0" distL="114300" distR="114300" simplePos="0" relativeHeight="251663360" behindDoc="0" locked="0" layoutInCell="1" allowOverlap="1" wp14:anchorId="5009D2B8" wp14:editId="1847E985">
                <wp:simplePos x="0" y="0"/>
                <wp:positionH relativeFrom="column">
                  <wp:posOffset>-4211235</wp:posOffset>
                </wp:positionH>
                <wp:positionV relativeFrom="paragraph">
                  <wp:posOffset>2170335</wp:posOffset>
                </wp:positionV>
                <wp:extent cx="11160" cy="25920"/>
                <wp:effectExtent l="57150" t="57150" r="65405" b="69850"/>
                <wp:wrapNone/>
                <wp:docPr id="1892414011" name="Ink 5"/>
                <wp:cNvGraphicFramePr/>
                <a:graphic xmlns:a="http://schemas.openxmlformats.org/drawingml/2006/main">
                  <a:graphicData uri="http://schemas.microsoft.com/office/word/2010/wordprocessingInk">
                    <w14:contentPart bwMode="auto" r:id="rId18">
                      <w14:nvContentPartPr>
                        <w14:cNvContentPartPr/>
                      </w14:nvContentPartPr>
                      <w14:xfrm>
                        <a:off x="0" y="0"/>
                        <a:ext cx="11160" cy="25920"/>
                      </w14:xfrm>
                    </w14:contentPart>
                  </a:graphicData>
                </a:graphic>
              </wp:anchor>
            </w:drawing>
          </mc:Choice>
          <mc:Fallback>
            <w:pict>
              <v:shapetype w14:anchorId="36A496A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333pt;margin-top:169.5pt;width:3.75pt;height:4.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">
                <v:imagedata r:id="rId19" o:title=""/>
              </v:shape>
            </w:pict>
          </mc:Fallback>
        </mc:AlternateContent>
      </w:r>
      <w:r w:rsidRPr="001A542D">
        <w:rPr>
          <w:rFonts w:ascii="Arial" w:hAnsi="Arial" w:cs="Arial"/>
          <w:noProof/>
          <w:sz w:val="23"/>
          <w:szCs w:val="23"/>
          <w14:ligatures w14:val="none"/>
        </w:rPr>
        <mc:AlternateContent>
          <mc:Choice Requires="wpi">
            <w:drawing>
              <wp:anchor distT="0" distB="0" distL="114300" distR="114300" simplePos="0" relativeHeight="251662336" behindDoc="0" locked="0" layoutInCell="1" allowOverlap="1" wp14:anchorId="496F8EDC" wp14:editId="2645407A">
                <wp:simplePos x="0" y="0"/>
                <wp:positionH relativeFrom="column">
                  <wp:posOffset>7384725</wp:posOffset>
                </wp:positionH>
                <wp:positionV relativeFrom="paragraph">
                  <wp:posOffset>2134695</wp:posOffset>
                </wp:positionV>
                <wp:extent cx="23400" cy="17640"/>
                <wp:effectExtent l="57150" t="76200" r="53340" b="59055"/>
                <wp:wrapNone/>
                <wp:docPr id="1906458855" name="Ink 4"/>
                <wp:cNvGraphicFramePr/>
                <a:graphic xmlns:a="http://schemas.openxmlformats.org/drawingml/2006/main">
                  <a:graphicData uri="http://schemas.microsoft.com/office/word/2010/wordprocessingInk">
                    <w14:contentPart bwMode="auto" r:id="rId20">
                      <w14:nvContentPartPr>
                        <w14:cNvContentPartPr/>
                      </w14:nvContentPartPr>
                      <w14:xfrm>
                        <a:off x="0" y="0"/>
                        <a:ext cx="23400" cy="17640"/>
                      </w14:xfrm>
                    </w14:contentPart>
                  </a:graphicData>
                </a:graphic>
              </wp:anchor>
            </w:drawing>
          </mc:Choice>
          <mc:Fallback>
            <w:pict>
              <v:shape w14:anchorId="2659894A" id="Ink 4" o:spid="_x0000_s1026" type="#_x0000_t75" style="position:absolute;margin-left:580.05pt;margin-top:166.7pt;width:4.7pt;height:4.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">
                <v:imagedata r:id="rId21" o:title=""/>
              </v:shape>
            </w:pict>
          </mc:Fallback>
        </mc:AlternateContent>
      </w:r>
    </w:p>
    <w:p w14:paraId="1DF4B93B" w14:textId="6D386B49" w:rsidR="00FB1B7F" w:rsidRPr="001A542D" w:rsidRDefault="00E14930" w:rsidP="001F5845">
      <w:pPr>
        <w:pStyle w:val="Annex"/>
        <w:pageBreakBefore/>
        <w:rPr>
          <w:sz w:val="23"/>
          <w:szCs w:val="23"/>
        </w:rPr>
      </w:pPr>
      <w:bookmarkStart w:id="12" w:name="_Toc219888756"/>
      <w:r>
        <w:rPr>
          <w:sz w:val="23"/>
          <w:szCs w:val="23"/>
        </w:rPr>
        <w:lastRenderedPageBreak/>
        <w:t>Legal Framework and Governance Overview – summary of existing legislation and related governance regards policing’s overt use of LFR technology</w:t>
      </w:r>
      <w:bookmarkEnd w:id="12"/>
    </w:p>
    <w:p w14:paraId="1DF4B93F" w14:textId="5F7DF291" w:rsidR="00FB1B7F" w:rsidRDefault="00E14930" w:rsidP="001F5845">
      <w:pPr>
        <w:pStyle w:val="Paragraph"/>
        <w:rPr>
          <w:noProof/>
          <w:lang w:eastAsia="en-GB"/>
        </w:rPr>
      </w:pPr>
      <w:r>
        <w:rPr>
          <w:noProof/>
          <w:lang w:eastAsia="en-GB"/>
        </w:rPr>
        <w:drawing>
          <wp:inline distT="0" distB="0" distL="0" distR="0" wp14:anchorId="7DCF94B1" wp14:editId="634D4DE1">
            <wp:extent cx="6254284" cy="3511060"/>
            <wp:effectExtent l="0" t="0" r="0" b="0"/>
            <wp:docPr id="2" name="Picture 2"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diagram&#10;&#10;AI-generated content may be incorrect."/>
                    <pic:cNvPicPr/>
                  </pic:nvPicPr>
                  <pic:blipFill rotWithShape="1">
                    <a:blip r:embed="rId22">
                      <a:extLst>
                        <a:ext uri="{28A0092B-C50C-407E-A947-70E740481C1C}">
                          <a14:useLocalDpi xmlns:a14="http://schemas.microsoft.com/office/drawing/2010/main" val="0"/>
                        </a:ext>
                      </a:extLst>
                    </a:blip>
                    <a:srcRect t="499"/>
                    <a:stretch/>
                  </pic:blipFill>
                  <pic:spPr bwMode="auto">
                    <a:xfrm>
                      <a:off x="0" y="0"/>
                      <a:ext cx="6259657" cy="3514076"/>
                    </a:xfrm>
                    <a:prstGeom prst="rect">
                      <a:avLst/>
                    </a:prstGeom>
                    <a:ln>
                      <a:noFill/>
                    </a:ln>
                    <a:extLst>
                      <a:ext uri="{53640926-AAD7-44D8-BBD7-CCE9431645EC}">
                        <a14:shadowObscured xmlns:a14="http://schemas.microsoft.com/office/drawing/2010/main"/>
                      </a:ext>
                    </a:extLst>
                  </pic:spPr>
                </pic:pic>
              </a:graphicData>
            </a:graphic>
          </wp:inline>
        </w:drawing>
      </w:r>
    </w:p>
    <w:p w14:paraId="51421C85" w14:textId="77777777" w:rsidR="00E26DAA" w:rsidRDefault="00E26DAA" w:rsidP="00E26DAA">
      <w:pPr>
        <w:rPr>
          <w:rFonts w:ascii="Arial" w:eastAsia="Arial Unicode MS" w:hAnsi="Arial" w:cs="Arial"/>
          <w:noProof/>
          <w:color w:val="000000"/>
          <w:szCs w:val="20"/>
          <w:lang w:eastAsia="en-GB"/>
        </w:rPr>
      </w:pPr>
    </w:p>
    <w:p w14:paraId="55F714E8" w14:textId="68E1C701" w:rsidR="00E26DAA" w:rsidRPr="00E26DAA" w:rsidRDefault="00E26DAA" w:rsidP="00E26DAA">
      <w:pPr>
        <w:tabs>
          <w:tab w:val="left" w:pos="2676"/>
        </w:tabs>
      </w:pPr>
      <w:r>
        <w:lastRenderedPageBreak/>
        <w:tab/>
      </w:r>
      <w:r w:rsidRPr="00E26DAA">
        <w:rPr>
          <w:noProof/>
        </w:rPr>
        <w:drawing>
          <wp:inline distT="0" distB="0" distL="0" distR="0" wp14:anchorId="389C6354" wp14:editId="629B71EB">
            <wp:extent cx="5801535" cy="7792537"/>
            <wp:effectExtent l="0" t="0" r="8890" b="0"/>
            <wp:docPr id="1549259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59344" name=""/>
                    <pic:cNvPicPr/>
                  </pic:nvPicPr>
                  <pic:blipFill>
                    <a:blip r:embed="rId23"/>
                    <a:stretch>
                      <a:fillRect/>
                    </a:stretch>
                  </pic:blipFill>
                  <pic:spPr>
                    <a:xfrm>
                      <a:off x="0" y="0"/>
                      <a:ext cx="5801535" cy="7792537"/>
                    </a:xfrm>
                    <a:prstGeom prst="rect">
                      <a:avLst/>
                    </a:prstGeom>
                  </pic:spPr>
                </pic:pic>
              </a:graphicData>
            </a:graphic>
          </wp:inline>
        </w:drawing>
      </w:r>
    </w:p>
    <w:sectPr w:rsidR="00E26DAA" w:rsidRPr="00E26DAA" w:rsidSect="00BD5B5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BA839" w14:textId="77777777" w:rsidR="00D30BC6" w:rsidRDefault="00D30BC6">
      <w:pPr>
        <w:spacing w:after="0" w:line="240" w:lineRule="auto"/>
      </w:pPr>
      <w:r>
        <w:separator/>
      </w:r>
    </w:p>
  </w:endnote>
  <w:endnote w:type="continuationSeparator" w:id="0">
    <w:p w14:paraId="4589B9AD" w14:textId="77777777" w:rsidR="00D30BC6" w:rsidRDefault="00D30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B940" w14:textId="77777777" w:rsidR="002333CF" w:rsidRDefault="00403536">
    <w:pPr>
      <w:jc w:val="center"/>
    </w:pPr>
    <w:r>
      <w:fldChar w:fldCharType="begin"/>
    </w:r>
    <w:r>
      <w:instrText>PAGE</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A4391" w14:textId="77777777" w:rsidR="00D30BC6" w:rsidRDefault="00D30BC6">
      <w:pPr>
        <w:spacing w:after="0" w:line="240" w:lineRule="auto"/>
      </w:pPr>
      <w:r>
        <w:separator/>
      </w:r>
    </w:p>
  </w:footnote>
  <w:footnote w:type="continuationSeparator" w:id="0">
    <w:p w14:paraId="084916B0" w14:textId="77777777" w:rsidR="00D30BC6" w:rsidRDefault="00D30BC6">
      <w:pPr>
        <w:spacing w:after="0" w:line="240" w:lineRule="auto"/>
      </w:pPr>
      <w:r>
        <w:continuationSeparator/>
      </w:r>
    </w:p>
  </w:footnote>
  <w:footnote w:id="1">
    <w:p w14:paraId="73F66A07" w14:textId="29E80CC4" w:rsidR="000156BC" w:rsidRPr="00F05FAA" w:rsidRDefault="000156BC">
      <w:pPr>
        <w:pStyle w:val="FootnoteText"/>
        <w:rPr>
          <w:rFonts w:ascii="Arial" w:hAnsi="Arial" w:cs="Arial"/>
        </w:rPr>
      </w:pPr>
      <w:r w:rsidRPr="00F05FAA">
        <w:rPr>
          <w:rStyle w:val="FootnoteReference"/>
          <w:rFonts w:ascii="Arial" w:hAnsi="Arial" w:cs="Arial"/>
        </w:rPr>
        <w:footnoteRef/>
      </w:r>
      <w:r w:rsidRPr="00F05FAA">
        <w:rPr>
          <w:rFonts w:ascii="Arial" w:hAnsi="Arial" w:cs="Arial"/>
        </w:rPr>
        <w:t xml:space="preserve"> </w:t>
      </w:r>
      <w:hyperlink r:id="rId1" w:history="1">
        <w:r w:rsidRPr="00F05FAA">
          <w:rPr>
            <w:rStyle w:val="Hyperlink"/>
            <w:rFonts w:ascii="Arial" w:hAnsi="Arial" w:cs="Arial"/>
          </w:rPr>
          <w:t>Consultation on a new legal framework for law enforcement use of biometrics, facial recognition and similar technologies (accessible) - GOV.UK</w:t>
        </w:r>
      </w:hyperlink>
    </w:p>
  </w:footnote>
  <w:footnote w:id="2">
    <w:p w14:paraId="64764C45" w14:textId="313C2B75" w:rsidR="00E36363" w:rsidRDefault="00E36363">
      <w:pPr>
        <w:pStyle w:val="FootnoteText"/>
      </w:pPr>
      <w:r>
        <w:rPr>
          <w:rStyle w:val="FootnoteReference"/>
        </w:rPr>
        <w:footnoteRef/>
      </w:r>
      <w:r>
        <w:t xml:space="preserve"> </w:t>
      </w:r>
      <w:r w:rsidR="00EB0A96">
        <w:t>Judicial Review being brough</w:t>
      </w:r>
      <w:r w:rsidR="00DA2986">
        <w:t>t</w:t>
      </w:r>
      <w:r w:rsidR="00EB0A96">
        <w:t xml:space="preserve"> by Shaun Thompson and Big Brother Watch</w:t>
      </w:r>
    </w:p>
  </w:footnote>
  <w:footnote w:id="3">
    <w:p w14:paraId="0E7A20C0" w14:textId="10B85716" w:rsidR="00A216C7" w:rsidRPr="00F05FAA" w:rsidRDefault="00A216C7">
      <w:pPr>
        <w:pStyle w:val="FootnoteText"/>
        <w:rPr>
          <w:rFonts w:ascii="Arial" w:hAnsi="Arial" w:cs="Arial"/>
        </w:rPr>
      </w:pPr>
      <w:r w:rsidRPr="00F05FAA">
        <w:rPr>
          <w:rStyle w:val="FootnoteReference"/>
          <w:rFonts w:ascii="Arial" w:hAnsi="Arial" w:cs="Arial"/>
        </w:rPr>
        <w:footnoteRef/>
      </w:r>
      <w:r w:rsidRPr="00F05FAA">
        <w:rPr>
          <w:rFonts w:ascii="Arial" w:hAnsi="Arial" w:cs="Arial"/>
        </w:rPr>
        <w:t xml:space="preserve"> </w:t>
      </w:r>
      <w:hyperlink r:id="rId2" w:history="1">
        <w:r w:rsidRPr="00F05FAA">
          <w:rPr>
            <w:rStyle w:val="Hyperlink"/>
            <w:rFonts w:ascii="Arial" w:hAnsi="Arial" w:cs="Arial"/>
          </w:rPr>
          <w:t>Amended Surveillance Camera Code of Practice (accessible version) - GOV.UK</w:t>
        </w:r>
      </w:hyperlink>
    </w:p>
  </w:footnote>
  <w:footnote w:id="4">
    <w:p w14:paraId="73694010" w14:textId="2D3F76D6" w:rsidR="00B11CE5" w:rsidRPr="00F05FAA" w:rsidRDefault="00B11CE5">
      <w:pPr>
        <w:pStyle w:val="FootnoteText"/>
        <w:rPr>
          <w:rFonts w:ascii="Arial" w:hAnsi="Arial" w:cs="Arial"/>
        </w:rPr>
      </w:pPr>
      <w:r w:rsidRPr="00F05FAA">
        <w:rPr>
          <w:rStyle w:val="FootnoteReference"/>
          <w:rFonts w:ascii="Arial" w:hAnsi="Arial" w:cs="Arial"/>
        </w:rPr>
        <w:footnoteRef/>
      </w:r>
      <w:r w:rsidRPr="00F05FAA">
        <w:rPr>
          <w:rFonts w:ascii="Arial" w:hAnsi="Arial" w:cs="Arial"/>
        </w:rPr>
        <w:t xml:space="preserve"> </w:t>
      </w:r>
      <w:hyperlink r:id="rId3" w:history="1">
        <w:r w:rsidRPr="00F05FAA">
          <w:rPr>
            <w:rStyle w:val="Hyperlink"/>
            <w:rFonts w:ascii="Arial" w:hAnsi="Arial" w:cs="Arial"/>
          </w:rPr>
          <w:t>Facing the Camera: Good practice and guidance</w:t>
        </w:r>
      </w:hyperlink>
    </w:p>
  </w:footnote>
  <w:footnote w:id="5">
    <w:p w14:paraId="19002C73" w14:textId="50B310E0" w:rsidR="00B11CE5" w:rsidRPr="00F05FAA" w:rsidRDefault="00B11CE5">
      <w:pPr>
        <w:pStyle w:val="FootnoteText"/>
        <w:rPr>
          <w:rFonts w:ascii="Arial" w:hAnsi="Arial" w:cs="Arial"/>
        </w:rPr>
      </w:pPr>
      <w:r w:rsidRPr="00F05FAA">
        <w:rPr>
          <w:rStyle w:val="FootnoteReference"/>
          <w:rFonts w:ascii="Arial" w:hAnsi="Arial" w:cs="Arial"/>
        </w:rPr>
        <w:footnoteRef/>
      </w:r>
      <w:r w:rsidRPr="00F05FAA">
        <w:rPr>
          <w:rFonts w:ascii="Arial" w:hAnsi="Arial" w:cs="Arial"/>
        </w:rPr>
        <w:t xml:space="preserve"> </w:t>
      </w:r>
      <w:hyperlink r:id="rId4" w:history="1">
        <w:r w:rsidRPr="00F05FAA">
          <w:rPr>
            <w:rStyle w:val="Hyperlink"/>
            <w:rFonts w:ascii="Arial" w:hAnsi="Arial" w:cs="Arial"/>
          </w:rPr>
          <w:t>Video surveillance (including guidance for organisations using CCTV) | ICO</w:t>
        </w:r>
      </w:hyperlink>
    </w:p>
  </w:footnote>
  <w:footnote w:id="6">
    <w:p w14:paraId="551BF908" w14:textId="41E0465D" w:rsidR="00B11CE5" w:rsidRPr="00F05FAA" w:rsidRDefault="00B11CE5">
      <w:pPr>
        <w:pStyle w:val="FootnoteText"/>
        <w:rPr>
          <w:rFonts w:ascii="Arial" w:hAnsi="Arial" w:cs="Arial"/>
        </w:rPr>
      </w:pPr>
      <w:r w:rsidRPr="00F05FAA">
        <w:rPr>
          <w:rStyle w:val="FootnoteReference"/>
          <w:rFonts w:ascii="Arial" w:hAnsi="Arial" w:cs="Arial"/>
        </w:rPr>
        <w:footnoteRef/>
      </w:r>
      <w:r w:rsidRPr="00F05FAA">
        <w:rPr>
          <w:rFonts w:ascii="Arial" w:hAnsi="Arial" w:cs="Arial"/>
        </w:rPr>
        <w:t xml:space="preserve"> </w:t>
      </w:r>
      <w:hyperlink r:id="rId5" w:history="1">
        <w:r w:rsidRPr="00F05FAA">
          <w:rPr>
            <w:rStyle w:val="Hyperlink"/>
            <w:rFonts w:ascii="Arial" w:hAnsi="Arial" w:cs="Arial"/>
          </w:rPr>
          <w:t>Live facial recognition | College of Policing</w:t>
        </w:r>
      </w:hyperlink>
    </w:p>
  </w:footnote>
  <w:footnote w:id="7">
    <w:p w14:paraId="53C8765F" w14:textId="570B14F5" w:rsidR="00B11CE5" w:rsidRDefault="00B11CE5">
      <w:pPr>
        <w:pStyle w:val="FootnoteText"/>
      </w:pPr>
      <w:r w:rsidRPr="00F05FAA">
        <w:rPr>
          <w:rStyle w:val="FootnoteReference"/>
          <w:rFonts w:ascii="Arial" w:hAnsi="Arial" w:cs="Arial"/>
        </w:rPr>
        <w:footnoteRef/>
      </w:r>
      <w:r w:rsidRPr="00F05FAA">
        <w:rPr>
          <w:rFonts w:ascii="Arial" w:hAnsi="Arial" w:cs="Arial"/>
        </w:rPr>
        <w:t xml:space="preserve"> </w:t>
      </w:r>
      <w:hyperlink r:id="rId6" w:history="1">
        <w:r w:rsidRPr="00F05FAA">
          <w:rPr>
            <w:rStyle w:val="Hyperlink"/>
            <w:rFonts w:ascii="Arial" w:hAnsi="Arial" w:cs="Arial"/>
          </w:rPr>
          <w:t>Police information and records management Code of Practice | College of Policing</w:t>
        </w:r>
      </w:hyperlink>
    </w:p>
  </w:footnote>
  <w:footnote w:id="8">
    <w:p w14:paraId="11153538" w14:textId="5687F8FA" w:rsidR="00AE7F49" w:rsidRPr="00F05FAA" w:rsidRDefault="00AE7F49">
      <w:pPr>
        <w:pStyle w:val="FootnoteText"/>
        <w:rPr>
          <w:rFonts w:ascii="Arial" w:hAnsi="Arial" w:cs="Arial"/>
        </w:rPr>
      </w:pPr>
      <w:r w:rsidRPr="00F05FAA">
        <w:rPr>
          <w:rStyle w:val="FootnoteReference"/>
          <w:rFonts w:ascii="Arial" w:hAnsi="Arial" w:cs="Arial"/>
        </w:rPr>
        <w:footnoteRef/>
      </w:r>
      <w:r w:rsidRPr="00F05FAA">
        <w:rPr>
          <w:rFonts w:ascii="Arial" w:hAnsi="Arial" w:cs="Arial"/>
        </w:rPr>
        <w:t xml:space="preserve"> [2019] EWHC 2341 (Admin)</w:t>
      </w:r>
    </w:p>
  </w:footnote>
  <w:footnote w:id="9">
    <w:p w14:paraId="7B6CE98B" w14:textId="6E7899F3" w:rsidR="00AE7F49" w:rsidRDefault="00AE7F49">
      <w:pPr>
        <w:pStyle w:val="FootnoteText"/>
      </w:pPr>
      <w:r w:rsidRPr="00F05FAA">
        <w:rPr>
          <w:rStyle w:val="FootnoteReference"/>
          <w:rFonts w:ascii="Arial" w:hAnsi="Arial" w:cs="Arial"/>
        </w:rPr>
        <w:footnoteRef/>
      </w:r>
      <w:r w:rsidRPr="00F05FAA">
        <w:rPr>
          <w:rFonts w:ascii="Arial" w:hAnsi="Arial" w:cs="Arial"/>
        </w:rPr>
        <w:t xml:space="preserve"> </w:t>
      </w:r>
      <w:r w:rsidR="0049710B" w:rsidRPr="00F05FAA">
        <w:rPr>
          <w:rFonts w:ascii="Arial" w:hAnsi="Arial" w:cs="Arial"/>
        </w:rPr>
        <w:t>[2020] EWCA Civ 1058, 2020 WL 04586697</w:t>
      </w:r>
    </w:p>
  </w:footnote>
  <w:footnote w:id="10">
    <w:p w14:paraId="07CE3DB5" w14:textId="2B788126" w:rsidR="001A0C10" w:rsidRPr="00F05FAA" w:rsidRDefault="001A0C10">
      <w:pPr>
        <w:pStyle w:val="FootnoteText"/>
        <w:rPr>
          <w:rFonts w:ascii="Arial" w:hAnsi="Arial" w:cs="Arial"/>
        </w:rPr>
      </w:pPr>
      <w:r w:rsidRPr="00F05FAA">
        <w:rPr>
          <w:rStyle w:val="FootnoteReference"/>
          <w:rFonts w:ascii="Arial" w:hAnsi="Arial" w:cs="Arial"/>
        </w:rPr>
        <w:footnoteRef/>
      </w:r>
      <w:r w:rsidRPr="00F05FAA">
        <w:rPr>
          <w:rFonts w:ascii="Arial" w:hAnsi="Arial" w:cs="Arial"/>
        </w:rPr>
        <w:t xml:space="preserve"> R (on the application of Edward Bridges) v The Chief Constable of South Wales Police [2020] EWCA Civ 1058 in paras 147, 151-154</w:t>
      </w:r>
    </w:p>
  </w:footnote>
  <w:footnote w:id="11">
    <w:p w14:paraId="293A4618" w14:textId="44DE9EA2" w:rsidR="001A0C10" w:rsidRDefault="001A0C10">
      <w:pPr>
        <w:pStyle w:val="FootnoteText"/>
      </w:pPr>
      <w:r w:rsidRPr="00F05FAA">
        <w:rPr>
          <w:rStyle w:val="FootnoteReference"/>
          <w:rFonts w:ascii="Arial" w:hAnsi="Arial" w:cs="Arial"/>
        </w:rPr>
        <w:footnoteRef/>
      </w:r>
      <w:r w:rsidRPr="00F05FAA">
        <w:rPr>
          <w:rFonts w:ascii="Arial" w:hAnsi="Arial" w:cs="Arial"/>
        </w:rPr>
        <w:t xml:space="preserve"> R (on the application of Edward Bridges) v The Chief Constable of South Wales Police [2020] EWCA Civ 1058 in paras 155-161</w:t>
      </w:r>
    </w:p>
  </w:footnote>
  <w:footnote w:id="12">
    <w:p w14:paraId="035AE4FB" w14:textId="32CB85F4" w:rsidR="001A0C10" w:rsidRPr="00F05FAA" w:rsidRDefault="001A0C10">
      <w:pPr>
        <w:pStyle w:val="FootnoteText"/>
        <w:rPr>
          <w:rFonts w:ascii="Arial" w:hAnsi="Arial" w:cs="Arial"/>
        </w:rPr>
      </w:pPr>
      <w:r w:rsidRPr="00F05FAA">
        <w:rPr>
          <w:rStyle w:val="FootnoteReference"/>
          <w:rFonts w:ascii="Arial" w:hAnsi="Arial" w:cs="Arial"/>
        </w:rPr>
        <w:footnoteRef/>
      </w:r>
      <w:r w:rsidRPr="00F05FAA">
        <w:rPr>
          <w:rFonts w:ascii="Arial" w:hAnsi="Arial" w:cs="Arial"/>
        </w:rPr>
        <w:t xml:space="preserve"> R (on the application of Edward Bridges) v The Chief Constable of South Wales Police [2020] EWCA Civ 1058 in paras 167, 173-175, 179-182, 191, 198-200</w:t>
      </w:r>
    </w:p>
  </w:footnote>
  <w:footnote w:id="13">
    <w:p w14:paraId="145C01E8" w14:textId="0ECBD2CF" w:rsidR="00FA217E" w:rsidRPr="00F05FAA" w:rsidRDefault="00FA217E">
      <w:pPr>
        <w:pStyle w:val="FootnoteText"/>
        <w:rPr>
          <w:rFonts w:ascii="Arial" w:hAnsi="Arial" w:cs="Arial"/>
        </w:rPr>
      </w:pPr>
      <w:r w:rsidRPr="00F05FAA">
        <w:rPr>
          <w:rStyle w:val="FootnoteReference"/>
          <w:rFonts w:ascii="Arial" w:hAnsi="Arial" w:cs="Arial"/>
        </w:rPr>
        <w:footnoteRef/>
      </w:r>
      <w:r w:rsidRPr="00F05FAA">
        <w:rPr>
          <w:rFonts w:ascii="Arial" w:hAnsi="Arial" w:cs="Arial"/>
        </w:rPr>
        <w:t xml:space="preserve"> See S v United Kingdom (30562/04) (2009) 48 E.H.R.R. 50, para 66-69</w:t>
      </w:r>
    </w:p>
  </w:footnote>
  <w:footnote w:id="14">
    <w:p w14:paraId="7E071F8A" w14:textId="1103B364" w:rsidR="00FA217E" w:rsidRPr="00F05FAA" w:rsidRDefault="00FA217E">
      <w:pPr>
        <w:pStyle w:val="FootnoteText"/>
        <w:rPr>
          <w:rFonts w:ascii="Arial" w:hAnsi="Arial" w:cs="Arial"/>
        </w:rPr>
      </w:pPr>
      <w:r w:rsidRPr="00F05FAA">
        <w:rPr>
          <w:rStyle w:val="FootnoteReference"/>
          <w:rFonts w:ascii="Arial" w:hAnsi="Arial" w:cs="Arial"/>
        </w:rPr>
        <w:footnoteRef/>
      </w:r>
      <w:r w:rsidRPr="00F05FAA">
        <w:rPr>
          <w:rFonts w:ascii="Arial" w:hAnsi="Arial" w:cs="Arial"/>
        </w:rPr>
        <w:t xml:space="preserve"> See S v United Kingdom (30562/04) (2009) 48 E.H.R.R. 50, para 104</w:t>
      </w:r>
    </w:p>
  </w:footnote>
  <w:footnote w:id="15">
    <w:p w14:paraId="181224BD" w14:textId="464464CD" w:rsidR="00AA2EC1" w:rsidRPr="00F05FAA" w:rsidRDefault="00AA2EC1">
      <w:pPr>
        <w:pStyle w:val="FootnoteText"/>
        <w:rPr>
          <w:rFonts w:ascii="Arial" w:hAnsi="Arial" w:cs="Arial"/>
        </w:rPr>
      </w:pPr>
      <w:r w:rsidRPr="00F05FAA">
        <w:rPr>
          <w:rStyle w:val="FootnoteReference"/>
          <w:rFonts w:ascii="Arial" w:hAnsi="Arial" w:cs="Arial"/>
        </w:rPr>
        <w:footnoteRef/>
      </w:r>
      <w:r w:rsidRPr="00F05FAA">
        <w:rPr>
          <w:rFonts w:ascii="Arial" w:hAnsi="Arial" w:cs="Arial"/>
        </w:rPr>
        <w:t xml:space="preserve"> 1 W.L.R 2501</w:t>
      </w:r>
    </w:p>
  </w:footnote>
  <w:footnote w:id="16">
    <w:p w14:paraId="2805F90D" w14:textId="1754FF1C" w:rsidR="00AA2EC1" w:rsidRDefault="00AA2EC1" w:rsidP="00AA2EC1">
      <w:pPr>
        <w:pStyle w:val="FootnoteText"/>
      </w:pPr>
      <w:r w:rsidRPr="00F05FAA">
        <w:rPr>
          <w:rStyle w:val="FootnoteReference"/>
          <w:rFonts w:ascii="Arial" w:hAnsi="Arial" w:cs="Arial"/>
        </w:rPr>
        <w:footnoteRef/>
      </w:r>
      <w:r w:rsidRPr="00F05FAA">
        <w:rPr>
          <w:rFonts w:ascii="Arial" w:hAnsi="Arial" w:cs="Arial"/>
        </w:rPr>
        <w:t xml:space="preserve"> R (on the application of Edward Bridges) v The Chief Constable of South Wales Police [2020] EWCA Civ 1058 in paras 134-144</w:t>
      </w:r>
    </w:p>
  </w:footnote>
  <w:footnote w:id="17">
    <w:p w14:paraId="017FD018" w14:textId="0CF1123A" w:rsidR="00AA2EC1" w:rsidRPr="00F05FAA" w:rsidRDefault="00AA2EC1" w:rsidP="00AA2EC1">
      <w:pPr>
        <w:pStyle w:val="FootnoteText"/>
        <w:rPr>
          <w:rFonts w:ascii="Arial" w:hAnsi="Arial" w:cs="Arial"/>
        </w:rPr>
      </w:pPr>
      <w:r w:rsidRPr="00F05FAA">
        <w:rPr>
          <w:rStyle w:val="FootnoteReference"/>
          <w:rFonts w:ascii="Arial" w:hAnsi="Arial" w:cs="Arial"/>
        </w:rPr>
        <w:footnoteRef/>
      </w:r>
      <w:r w:rsidRPr="00F05FAA">
        <w:rPr>
          <w:rFonts w:ascii="Arial" w:hAnsi="Arial" w:cs="Arial"/>
        </w:rPr>
        <w:t xml:space="preserve"> R (on the application of Edward Bridges) v The Chief Constable of South Wales Police [2020] EWCA Civ 1058 in paras </w:t>
      </w:r>
      <w:hyperlink r:id="rId7" w:tooltip="View judgment paragraphs" w:history="1">
        <w:r w:rsidRPr="00F05FAA">
          <w:rPr>
            <w:rFonts w:ascii="Arial" w:hAnsi="Arial" w:cs="Arial"/>
          </w:rPr>
          <w:t>39, 58-61, 69, 71, 85, 90-96, 104, 109-130</w:t>
        </w:r>
      </w:hyperlink>
    </w:p>
  </w:footnote>
  <w:footnote w:id="18">
    <w:p w14:paraId="09049BC1" w14:textId="4002AB3C" w:rsidR="00B731EE" w:rsidRPr="00F05FAA" w:rsidRDefault="00B731EE">
      <w:pPr>
        <w:pStyle w:val="FootnoteText"/>
        <w:rPr>
          <w:rFonts w:ascii="Arial" w:hAnsi="Arial" w:cs="Arial"/>
        </w:rPr>
      </w:pPr>
      <w:r w:rsidRPr="00F05FAA">
        <w:rPr>
          <w:rStyle w:val="FootnoteReference"/>
          <w:rFonts w:ascii="Arial" w:hAnsi="Arial" w:cs="Arial"/>
        </w:rPr>
        <w:footnoteRef/>
      </w:r>
      <w:r w:rsidRPr="00F05FAA">
        <w:rPr>
          <w:rFonts w:ascii="Arial" w:hAnsi="Arial" w:cs="Arial"/>
        </w:rPr>
        <w:t xml:space="preserve"> [2015] A.C. 1065</w:t>
      </w:r>
    </w:p>
  </w:footnote>
  <w:footnote w:id="19">
    <w:p w14:paraId="43FA3443" w14:textId="35BB7105" w:rsidR="00B731EE" w:rsidRDefault="00B731EE">
      <w:pPr>
        <w:pStyle w:val="FootnoteText"/>
      </w:pPr>
      <w:r w:rsidRPr="00F05FAA">
        <w:rPr>
          <w:rStyle w:val="FootnoteReference"/>
          <w:rFonts w:ascii="Arial" w:hAnsi="Arial" w:cs="Arial"/>
        </w:rPr>
        <w:footnoteRef/>
      </w:r>
      <w:r w:rsidRPr="00F05FAA">
        <w:rPr>
          <w:rFonts w:ascii="Arial" w:hAnsi="Arial" w:cs="Arial"/>
        </w:rPr>
        <w:t xml:space="preserve"> Catt v United Kingdom (43514/15)</w:t>
      </w:r>
    </w:p>
  </w:footnote>
  <w:footnote w:id="20">
    <w:p w14:paraId="678AF8CF" w14:textId="24CA554A" w:rsidR="00B731EE" w:rsidRPr="00F05FAA" w:rsidRDefault="00B731EE">
      <w:pPr>
        <w:pStyle w:val="FootnoteText"/>
        <w:rPr>
          <w:rFonts w:ascii="Arial" w:hAnsi="Arial" w:cs="Arial"/>
        </w:rPr>
      </w:pPr>
      <w:r w:rsidRPr="00F05FAA">
        <w:rPr>
          <w:rStyle w:val="FootnoteReference"/>
          <w:rFonts w:ascii="Arial" w:hAnsi="Arial" w:cs="Arial"/>
        </w:rPr>
        <w:footnoteRef/>
      </w:r>
      <w:r w:rsidRPr="00F05FAA">
        <w:rPr>
          <w:rFonts w:ascii="Arial" w:hAnsi="Arial" w:cs="Arial"/>
        </w:rPr>
        <w:t xml:space="preserve"> Per Laws J in Hellewell v Chief Constable of Derbyshire [1995] 1 WLR 804 at 810F</w:t>
      </w:r>
    </w:p>
  </w:footnote>
  <w:footnote w:id="21">
    <w:p w14:paraId="1C8CAADF" w14:textId="2C4923D9" w:rsidR="008F1DE9" w:rsidRPr="00F05FAA" w:rsidRDefault="008F1DE9">
      <w:pPr>
        <w:pStyle w:val="FootnoteText"/>
        <w:rPr>
          <w:rFonts w:ascii="Arial" w:hAnsi="Arial" w:cs="Arial"/>
        </w:rPr>
      </w:pPr>
      <w:r w:rsidRPr="00F05FAA">
        <w:rPr>
          <w:rStyle w:val="FootnoteReference"/>
          <w:rFonts w:ascii="Arial" w:hAnsi="Arial" w:cs="Arial"/>
        </w:rPr>
        <w:footnoteRef/>
      </w:r>
      <w:r w:rsidRPr="00F05FAA">
        <w:rPr>
          <w:rFonts w:ascii="Arial" w:hAnsi="Arial" w:cs="Arial"/>
        </w:rPr>
        <w:t xml:space="preserve"> R (on the application of Edward Bridges) v The Chief Constable of South Wales Police [2020] EWCA Civ 1058 in para 69</w:t>
      </w:r>
    </w:p>
  </w:footnote>
  <w:footnote w:id="22">
    <w:p w14:paraId="026BFF24" w14:textId="2BB2ED02" w:rsidR="008F1DE9" w:rsidRPr="00F05FAA" w:rsidRDefault="008F1DE9">
      <w:pPr>
        <w:pStyle w:val="FootnoteText"/>
        <w:rPr>
          <w:rFonts w:ascii="Arial" w:hAnsi="Arial" w:cs="Arial"/>
        </w:rPr>
      </w:pPr>
      <w:r w:rsidRPr="00F05FAA">
        <w:rPr>
          <w:rStyle w:val="FootnoteReference"/>
          <w:rFonts w:ascii="Arial" w:hAnsi="Arial" w:cs="Arial"/>
        </w:rPr>
        <w:footnoteRef/>
      </w:r>
      <w:r w:rsidRPr="00F05FAA">
        <w:rPr>
          <w:rFonts w:ascii="Arial" w:hAnsi="Arial" w:cs="Arial"/>
        </w:rPr>
        <w:t xml:space="preserve"> R (on the application of Edward Bridges) v The Chief Constable of South Wales Police [2020] EWCA Civ 1058 in Para 55</w:t>
      </w:r>
    </w:p>
  </w:footnote>
  <w:footnote w:id="23">
    <w:p w14:paraId="5C3B4611" w14:textId="15D80DE7" w:rsidR="008F1DE9" w:rsidRDefault="008F1DE9">
      <w:pPr>
        <w:pStyle w:val="FootnoteText"/>
      </w:pPr>
      <w:r w:rsidRPr="00F05FAA">
        <w:rPr>
          <w:rStyle w:val="FootnoteReference"/>
          <w:rFonts w:ascii="Arial" w:hAnsi="Arial" w:cs="Arial"/>
        </w:rPr>
        <w:footnoteRef/>
      </w:r>
      <w:r w:rsidRPr="00F05FAA">
        <w:rPr>
          <w:rFonts w:ascii="Arial" w:hAnsi="Arial" w:cs="Arial"/>
        </w:rPr>
        <w:t xml:space="preserve"> R (on the application of Edward Bridges) v The Chief Constable of South Wales Police [2020] EWCA Civ 1058 in Para 95</w:t>
      </w:r>
    </w:p>
  </w:footnote>
  <w:footnote w:id="24">
    <w:p w14:paraId="64D78767" w14:textId="4A58D63A" w:rsidR="00F63EB8" w:rsidRPr="00F05FAA" w:rsidRDefault="00F63EB8">
      <w:pPr>
        <w:pStyle w:val="FootnoteText"/>
        <w:rPr>
          <w:rFonts w:ascii="Arial" w:hAnsi="Arial" w:cs="Arial"/>
        </w:rPr>
      </w:pPr>
      <w:r w:rsidRPr="00F05FAA">
        <w:rPr>
          <w:rStyle w:val="FootnoteReference"/>
          <w:rFonts w:ascii="Arial" w:hAnsi="Arial" w:cs="Arial"/>
        </w:rPr>
        <w:footnoteRef/>
      </w:r>
      <w:r w:rsidRPr="00F05FAA">
        <w:rPr>
          <w:rFonts w:ascii="Arial" w:hAnsi="Arial" w:cs="Arial"/>
        </w:rPr>
        <w:t xml:space="preserve"> The police do have powers under </w:t>
      </w:r>
      <w:r w:rsidR="0062243A">
        <w:rPr>
          <w:rFonts w:ascii="Arial" w:hAnsi="Arial" w:cs="Arial"/>
        </w:rPr>
        <w:t>s</w:t>
      </w:r>
      <w:r w:rsidRPr="00F05FAA">
        <w:rPr>
          <w:rFonts w:ascii="Arial" w:hAnsi="Arial" w:cs="Arial"/>
        </w:rPr>
        <w:t>ection 60AA of the Criminal Justice Act 1994 whereby in an authorisation is in force, a police officer can demand the remove of any item used to conceal identity. This is not an LFR-specific power and would not solely be authorised to facilitate the use of LFR</w:t>
      </w:r>
    </w:p>
  </w:footnote>
  <w:footnote w:id="25">
    <w:p w14:paraId="18452B66" w14:textId="47C1E89B" w:rsidR="00B2240A" w:rsidRDefault="00B2240A" w:rsidP="00B2240A">
      <w:pPr>
        <w:pStyle w:val="FootnoteText"/>
      </w:pPr>
      <w:r>
        <w:rPr>
          <w:rStyle w:val="FootnoteReference"/>
        </w:rPr>
        <w:footnoteRef/>
      </w:r>
      <w:r>
        <w:t xml:space="preserve"> O</w:t>
      </w:r>
      <w:r w:rsidR="00E01783">
        <w:t>sman</w:t>
      </w:r>
      <w:r>
        <w:t xml:space="preserve"> v. T</w:t>
      </w:r>
      <w:r w:rsidR="00E01783">
        <w:t>he</w:t>
      </w:r>
      <w:r>
        <w:t xml:space="preserve"> U</w:t>
      </w:r>
      <w:r w:rsidR="00E01783">
        <w:t xml:space="preserve">nited </w:t>
      </w:r>
      <w:r>
        <w:t>K</w:t>
      </w:r>
      <w:r w:rsidR="00E01783">
        <w:t xml:space="preserve">ingdom (23452/94) </w:t>
      </w:r>
      <w:r w:rsidR="00E01783" w:rsidRPr="00E01783">
        <w:rPr>
          <w:iCs/>
        </w:rPr>
        <w:t>(2000) 29 E.H.R.R. 245</w:t>
      </w:r>
    </w:p>
  </w:footnote>
  <w:footnote w:id="26">
    <w:p w14:paraId="5B394C5C" w14:textId="521FD307" w:rsidR="00E01783" w:rsidRDefault="00E01783" w:rsidP="00E01783">
      <w:pPr>
        <w:pStyle w:val="FootnoteText"/>
      </w:pPr>
      <w:r>
        <w:rPr>
          <w:rStyle w:val="FootnoteReference"/>
        </w:rPr>
        <w:footnoteRef/>
      </w:r>
      <w:r>
        <w:t xml:space="preserve"> Commissioner of Police of the Metropolis v DSD [2018] UKSC 11</w:t>
      </w:r>
    </w:p>
  </w:footnote>
  <w:footnote w:id="27">
    <w:p w14:paraId="22924F7E" w14:textId="2E1C9074" w:rsidR="00F05FAA" w:rsidRPr="00365DA5" w:rsidRDefault="00F05FAA">
      <w:pPr>
        <w:pStyle w:val="FootnoteText"/>
        <w:rPr>
          <w:rFonts w:ascii="Arial" w:hAnsi="Arial" w:cs="Arial"/>
        </w:rPr>
      </w:pPr>
      <w:r w:rsidRPr="00365DA5">
        <w:rPr>
          <w:rStyle w:val="FootnoteReference"/>
          <w:rFonts w:ascii="Arial" w:hAnsi="Arial" w:cs="Arial"/>
        </w:rPr>
        <w:footnoteRef/>
      </w:r>
      <w:r w:rsidRPr="00365DA5">
        <w:rPr>
          <w:rFonts w:ascii="Arial" w:hAnsi="Arial" w:cs="Arial"/>
        </w:rPr>
        <w:t xml:space="preserve"> Schedule 1 DPA 2018</w:t>
      </w:r>
    </w:p>
  </w:footnote>
  <w:footnote w:id="28">
    <w:p w14:paraId="420B4E5F" w14:textId="4A58F11E" w:rsidR="00365DA5" w:rsidRPr="00365DA5" w:rsidRDefault="00365DA5">
      <w:pPr>
        <w:pStyle w:val="FootnoteText"/>
        <w:rPr>
          <w:rFonts w:ascii="Arial" w:hAnsi="Arial" w:cs="Arial"/>
        </w:rPr>
      </w:pPr>
      <w:r w:rsidRPr="00365DA5">
        <w:rPr>
          <w:rStyle w:val="FootnoteReference"/>
          <w:rFonts w:ascii="Arial" w:hAnsi="Arial" w:cs="Arial"/>
        </w:rPr>
        <w:footnoteRef/>
      </w:r>
      <w:r w:rsidRPr="00365DA5">
        <w:rPr>
          <w:rFonts w:ascii="Arial" w:hAnsi="Arial" w:cs="Arial"/>
        </w:rPr>
        <w:t xml:space="preserve"> Part 3 DPA 2018</w:t>
      </w:r>
    </w:p>
  </w:footnote>
  <w:footnote w:id="29">
    <w:p w14:paraId="73F8961C" w14:textId="0EA8A1EE" w:rsidR="00365DA5" w:rsidRDefault="00365DA5">
      <w:pPr>
        <w:pStyle w:val="FootnoteText"/>
      </w:pPr>
      <w:r w:rsidRPr="00365DA5">
        <w:rPr>
          <w:rStyle w:val="FootnoteReference"/>
          <w:rFonts w:ascii="Arial" w:hAnsi="Arial" w:cs="Arial"/>
        </w:rPr>
        <w:footnoteRef/>
      </w:r>
      <w:r w:rsidRPr="00365DA5">
        <w:rPr>
          <w:rFonts w:ascii="Arial" w:hAnsi="Arial" w:cs="Arial"/>
        </w:rPr>
        <w:t xml:space="preserve"> Section 31 DPA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5611" w14:textId="77777777" w:rsidR="001A542D" w:rsidRDefault="001A542D" w:rsidP="001A542D">
    <w:pPr>
      <w:pStyle w:val="Header"/>
      <w:jc w:val="center"/>
    </w:pPr>
    <w: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F25088E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b w:val="0"/>
        <w:bCs w:val="0"/>
        <w:i w:val="0"/>
        <w:iCs w:val="0"/>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A66298D6">
      <w:start w:val="1"/>
      <w:numFmt w:val="bullet"/>
      <w:pStyle w:val="DefinedTermBullet"/>
      <w:lvlText w:val=""/>
      <w:lvlJc w:val="left"/>
      <w:pPr>
        <w:ind w:left="1440" w:hanging="360"/>
      </w:pPr>
      <w:rPr>
        <w:rFonts w:ascii="Symbol" w:hAnsi="Symbol" w:hint="default"/>
        <w:color w:val="000000"/>
      </w:rPr>
    </w:lvl>
    <w:lvl w:ilvl="1" w:tplc="B7D8803C" w:tentative="1">
      <w:start w:val="1"/>
      <w:numFmt w:val="bullet"/>
      <w:lvlText w:val="o"/>
      <w:lvlJc w:val="left"/>
      <w:pPr>
        <w:ind w:left="2160" w:hanging="360"/>
      </w:pPr>
      <w:rPr>
        <w:rFonts w:ascii="Courier New" w:hAnsi="Courier New" w:cs="Courier New" w:hint="default"/>
      </w:rPr>
    </w:lvl>
    <w:lvl w:ilvl="2" w:tplc="1ED6547C" w:tentative="1">
      <w:start w:val="1"/>
      <w:numFmt w:val="bullet"/>
      <w:lvlText w:val=""/>
      <w:lvlJc w:val="left"/>
      <w:pPr>
        <w:ind w:left="2880" w:hanging="360"/>
      </w:pPr>
      <w:rPr>
        <w:rFonts w:ascii="Wingdings" w:hAnsi="Wingdings" w:hint="default"/>
      </w:rPr>
    </w:lvl>
    <w:lvl w:ilvl="3" w:tplc="B462A4D0" w:tentative="1">
      <w:start w:val="1"/>
      <w:numFmt w:val="bullet"/>
      <w:lvlText w:val=""/>
      <w:lvlJc w:val="left"/>
      <w:pPr>
        <w:ind w:left="3600" w:hanging="360"/>
      </w:pPr>
      <w:rPr>
        <w:rFonts w:ascii="Symbol" w:hAnsi="Symbol" w:hint="default"/>
      </w:rPr>
    </w:lvl>
    <w:lvl w:ilvl="4" w:tplc="38186EA0" w:tentative="1">
      <w:start w:val="1"/>
      <w:numFmt w:val="bullet"/>
      <w:lvlText w:val="o"/>
      <w:lvlJc w:val="left"/>
      <w:pPr>
        <w:ind w:left="4320" w:hanging="360"/>
      </w:pPr>
      <w:rPr>
        <w:rFonts w:ascii="Courier New" w:hAnsi="Courier New" w:cs="Courier New" w:hint="default"/>
      </w:rPr>
    </w:lvl>
    <w:lvl w:ilvl="5" w:tplc="8E828252" w:tentative="1">
      <w:start w:val="1"/>
      <w:numFmt w:val="bullet"/>
      <w:lvlText w:val=""/>
      <w:lvlJc w:val="left"/>
      <w:pPr>
        <w:ind w:left="5040" w:hanging="360"/>
      </w:pPr>
      <w:rPr>
        <w:rFonts w:ascii="Wingdings" w:hAnsi="Wingdings" w:hint="default"/>
      </w:rPr>
    </w:lvl>
    <w:lvl w:ilvl="6" w:tplc="02CA7740" w:tentative="1">
      <w:start w:val="1"/>
      <w:numFmt w:val="bullet"/>
      <w:lvlText w:val=""/>
      <w:lvlJc w:val="left"/>
      <w:pPr>
        <w:ind w:left="5760" w:hanging="360"/>
      </w:pPr>
      <w:rPr>
        <w:rFonts w:ascii="Symbol" w:hAnsi="Symbol" w:hint="default"/>
      </w:rPr>
    </w:lvl>
    <w:lvl w:ilvl="7" w:tplc="4B2E7148" w:tentative="1">
      <w:start w:val="1"/>
      <w:numFmt w:val="bullet"/>
      <w:lvlText w:val="o"/>
      <w:lvlJc w:val="left"/>
      <w:pPr>
        <w:ind w:left="6480" w:hanging="360"/>
      </w:pPr>
      <w:rPr>
        <w:rFonts w:ascii="Courier New" w:hAnsi="Courier New" w:cs="Courier New" w:hint="default"/>
      </w:rPr>
    </w:lvl>
    <w:lvl w:ilvl="8" w:tplc="442A6DF4" w:tentative="1">
      <w:start w:val="1"/>
      <w:numFmt w:val="bullet"/>
      <w:lvlText w:val=""/>
      <w:lvlJc w:val="left"/>
      <w:pPr>
        <w:ind w:left="7200" w:hanging="360"/>
      </w:pPr>
      <w:rPr>
        <w:rFonts w:ascii="Wingdings" w:hAnsi="Wingdings" w:hint="default"/>
      </w:rPr>
    </w:lvl>
  </w:abstractNum>
  <w:abstractNum w:abstractNumId="2"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E82F3A"/>
    <w:multiLevelType w:val="hybridMultilevel"/>
    <w:tmpl w:val="1DF80854"/>
    <w:lvl w:ilvl="0" w:tplc="F4A0645E">
      <w:start w:val="1"/>
      <w:numFmt w:val="decimal"/>
      <w:pStyle w:val="ScheduleHeading-Single"/>
      <w:lvlText w:val="Schedule"/>
      <w:lvlJc w:val="left"/>
      <w:pPr>
        <w:tabs>
          <w:tab w:val="num" w:pos="720"/>
        </w:tabs>
        <w:ind w:left="720" w:hanging="720"/>
      </w:pPr>
      <w:rPr>
        <w:color w:val="000000"/>
      </w:rPr>
    </w:lvl>
    <w:lvl w:ilvl="1" w:tplc="E0CA2BDC" w:tentative="1">
      <w:start w:val="1"/>
      <w:numFmt w:val="lowerLetter"/>
      <w:lvlText w:val="%2."/>
      <w:lvlJc w:val="left"/>
      <w:pPr>
        <w:tabs>
          <w:tab w:val="num" w:pos="1440"/>
        </w:tabs>
        <w:ind w:left="1440" w:hanging="360"/>
      </w:pPr>
    </w:lvl>
    <w:lvl w:ilvl="2" w:tplc="E870C024" w:tentative="1">
      <w:start w:val="1"/>
      <w:numFmt w:val="lowerRoman"/>
      <w:lvlText w:val="%3."/>
      <w:lvlJc w:val="right"/>
      <w:pPr>
        <w:tabs>
          <w:tab w:val="num" w:pos="2160"/>
        </w:tabs>
        <w:ind w:left="2160" w:hanging="180"/>
      </w:pPr>
    </w:lvl>
    <w:lvl w:ilvl="3" w:tplc="9D903BBC" w:tentative="1">
      <w:start w:val="1"/>
      <w:numFmt w:val="decimal"/>
      <w:lvlText w:val="%4."/>
      <w:lvlJc w:val="left"/>
      <w:pPr>
        <w:tabs>
          <w:tab w:val="num" w:pos="2880"/>
        </w:tabs>
        <w:ind w:left="2880" w:hanging="360"/>
      </w:pPr>
    </w:lvl>
    <w:lvl w:ilvl="4" w:tplc="F684B724" w:tentative="1">
      <w:start w:val="1"/>
      <w:numFmt w:val="lowerLetter"/>
      <w:lvlText w:val="%5."/>
      <w:lvlJc w:val="left"/>
      <w:pPr>
        <w:tabs>
          <w:tab w:val="num" w:pos="3600"/>
        </w:tabs>
        <w:ind w:left="3600" w:hanging="360"/>
      </w:pPr>
    </w:lvl>
    <w:lvl w:ilvl="5" w:tplc="6B562D7E" w:tentative="1">
      <w:start w:val="1"/>
      <w:numFmt w:val="lowerRoman"/>
      <w:lvlText w:val="%6."/>
      <w:lvlJc w:val="right"/>
      <w:pPr>
        <w:tabs>
          <w:tab w:val="num" w:pos="4320"/>
        </w:tabs>
        <w:ind w:left="4320" w:hanging="180"/>
      </w:pPr>
    </w:lvl>
    <w:lvl w:ilvl="6" w:tplc="9C781BEA" w:tentative="1">
      <w:start w:val="1"/>
      <w:numFmt w:val="decimal"/>
      <w:lvlText w:val="%7."/>
      <w:lvlJc w:val="left"/>
      <w:pPr>
        <w:tabs>
          <w:tab w:val="num" w:pos="5040"/>
        </w:tabs>
        <w:ind w:left="5040" w:hanging="360"/>
      </w:pPr>
    </w:lvl>
    <w:lvl w:ilvl="7" w:tplc="35823B92" w:tentative="1">
      <w:start w:val="1"/>
      <w:numFmt w:val="lowerLetter"/>
      <w:lvlText w:val="%8."/>
      <w:lvlJc w:val="left"/>
      <w:pPr>
        <w:tabs>
          <w:tab w:val="num" w:pos="5760"/>
        </w:tabs>
        <w:ind w:left="5760" w:hanging="360"/>
      </w:pPr>
    </w:lvl>
    <w:lvl w:ilvl="8" w:tplc="E16EBA18" w:tentative="1">
      <w:start w:val="1"/>
      <w:numFmt w:val="lowerRoman"/>
      <w:lvlText w:val="%9."/>
      <w:lvlJc w:val="right"/>
      <w:pPr>
        <w:tabs>
          <w:tab w:val="num" w:pos="6480"/>
        </w:tabs>
        <w:ind w:left="6480" w:hanging="180"/>
      </w:pPr>
    </w:lvl>
  </w:abstractNum>
  <w:abstractNum w:abstractNumId="4" w15:restartNumberingAfterBreak="0">
    <w:nsid w:val="25B00E4C"/>
    <w:multiLevelType w:val="hybridMultilevel"/>
    <w:tmpl w:val="97C4AA26"/>
    <w:lvl w:ilvl="0" w:tplc="4EBE6676">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2C7A989C" w:tentative="1">
      <w:start w:val="1"/>
      <w:numFmt w:val="lowerLetter"/>
      <w:lvlText w:val="%2."/>
      <w:lvlJc w:val="left"/>
      <w:pPr>
        <w:ind w:left="1440" w:hanging="360"/>
      </w:pPr>
    </w:lvl>
    <w:lvl w:ilvl="2" w:tplc="08DE675C" w:tentative="1">
      <w:start w:val="1"/>
      <w:numFmt w:val="lowerRoman"/>
      <w:lvlText w:val="%3."/>
      <w:lvlJc w:val="right"/>
      <w:pPr>
        <w:ind w:left="2160" w:hanging="180"/>
      </w:pPr>
    </w:lvl>
    <w:lvl w:ilvl="3" w:tplc="9B14CBF6" w:tentative="1">
      <w:start w:val="1"/>
      <w:numFmt w:val="decimal"/>
      <w:lvlText w:val="%4."/>
      <w:lvlJc w:val="left"/>
      <w:pPr>
        <w:ind w:left="2880" w:hanging="360"/>
      </w:pPr>
    </w:lvl>
    <w:lvl w:ilvl="4" w:tplc="3774D226" w:tentative="1">
      <w:start w:val="1"/>
      <w:numFmt w:val="lowerLetter"/>
      <w:lvlText w:val="%5."/>
      <w:lvlJc w:val="left"/>
      <w:pPr>
        <w:ind w:left="3600" w:hanging="360"/>
      </w:pPr>
    </w:lvl>
    <w:lvl w:ilvl="5" w:tplc="86D8A186" w:tentative="1">
      <w:start w:val="1"/>
      <w:numFmt w:val="lowerRoman"/>
      <w:lvlText w:val="%6."/>
      <w:lvlJc w:val="right"/>
      <w:pPr>
        <w:ind w:left="4320" w:hanging="180"/>
      </w:pPr>
    </w:lvl>
    <w:lvl w:ilvl="6" w:tplc="2DDEFF6A" w:tentative="1">
      <w:start w:val="1"/>
      <w:numFmt w:val="decimal"/>
      <w:lvlText w:val="%7."/>
      <w:lvlJc w:val="left"/>
      <w:pPr>
        <w:ind w:left="5040" w:hanging="360"/>
      </w:pPr>
    </w:lvl>
    <w:lvl w:ilvl="7" w:tplc="3C1691F8" w:tentative="1">
      <w:start w:val="1"/>
      <w:numFmt w:val="lowerLetter"/>
      <w:lvlText w:val="%8."/>
      <w:lvlJc w:val="left"/>
      <w:pPr>
        <w:ind w:left="5760" w:hanging="360"/>
      </w:pPr>
    </w:lvl>
    <w:lvl w:ilvl="8" w:tplc="7DCED4CC" w:tentative="1">
      <w:start w:val="1"/>
      <w:numFmt w:val="lowerRoman"/>
      <w:lvlText w:val="%9."/>
      <w:lvlJc w:val="right"/>
      <w:pPr>
        <w:ind w:left="6480" w:hanging="180"/>
      </w:pPr>
    </w:lvl>
  </w:abstractNum>
  <w:abstractNum w:abstractNumId="5" w15:restartNumberingAfterBreak="0">
    <w:nsid w:val="29C94F29"/>
    <w:multiLevelType w:val="hybridMultilevel"/>
    <w:tmpl w:val="4CBC2A34"/>
    <w:lvl w:ilvl="0" w:tplc="A134C248">
      <w:start w:val="1"/>
      <w:numFmt w:val="decimal"/>
      <w:pStyle w:val="QuestionParagraph"/>
      <w:lvlText w:val="%1."/>
      <w:lvlJc w:val="left"/>
      <w:pPr>
        <w:ind w:left="720" w:hanging="360"/>
      </w:pPr>
      <w:rPr>
        <w:color w:val="000000"/>
      </w:rPr>
    </w:lvl>
    <w:lvl w:ilvl="1" w:tplc="CDC472BC" w:tentative="1">
      <w:start w:val="1"/>
      <w:numFmt w:val="lowerLetter"/>
      <w:lvlText w:val="%2."/>
      <w:lvlJc w:val="left"/>
      <w:pPr>
        <w:ind w:left="1440" w:hanging="360"/>
      </w:pPr>
    </w:lvl>
    <w:lvl w:ilvl="2" w:tplc="3140E142" w:tentative="1">
      <w:start w:val="1"/>
      <w:numFmt w:val="lowerRoman"/>
      <w:lvlText w:val="%3."/>
      <w:lvlJc w:val="right"/>
      <w:pPr>
        <w:ind w:left="2160" w:hanging="180"/>
      </w:pPr>
    </w:lvl>
    <w:lvl w:ilvl="3" w:tplc="25440F14" w:tentative="1">
      <w:start w:val="1"/>
      <w:numFmt w:val="decimal"/>
      <w:lvlText w:val="%4."/>
      <w:lvlJc w:val="left"/>
      <w:pPr>
        <w:ind w:left="2880" w:hanging="360"/>
      </w:pPr>
    </w:lvl>
    <w:lvl w:ilvl="4" w:tplc="BA4EDB94" w:tentative="1">
      <w:start w:val="1"/>
      <w:numFmt w:val="lowerLetter"/>
      <w:lvlText w:val="%5."/>
      <w:lvlJc w:val="left"/>
      <w:pPr>
        <w:ind w:left="3600" w:hanging="360"/>
      </w:pPr>
    </w:lvl>
    <w:lvl w:ilvl="5" w:tplc="6F522D9E" w:tentative="1">
      <w:start w:val="1"/>
      <w:numFmt w:val="lowerRoman"/>
      <w:lvlText w:val="%6."/>
      <w:lvlJc w:val="right"/>
      <w:pPr>
        <w:ind w:left="4320" w:hanging="180"/>
      </w:pPr>
    </w:lvl>
    <w:lvl w:ilvl="6" w:tplc="56B2708A" w:tentative="1">
      <w:start w:val="1"/>
      <w:numFmt w:val="decimal"/>
      <w:lvlText w:val="%7."/>
      <w:lvlJc w:val="left"/>
      <w:pPr>
        <w:ind w:left="5040" w:hanging="360"/>
      </w:pPr>
    </w:lvl>
    <w:lvl w:ilvl="7" w:tplc="EED4CC26" w:tentative="1">
      <w:start w:val="1"/>
      <w:numFmt w:val="lowerLetter"/>
      <w:lvlText w:val="%8."/>
      <w:lvlJc w:val="left"/>
      <w:pPr>
        <w:ind w:left="5760" w:hanging="360"/>
      </w:pPr>
    </w:lvl>
    <w:lvl w:ilvl="8" w:tplc="67824872" w:tentative="1">
      <w:start w:val="1"/>
      <w:numFmt w:val="lowerRoman"/>
      <w:lvlText w:val="%9."/>
      <w:lvlJc w:val="right"/>
      <w:pPr>
        <w:ind w:left="6480" w:hanging="180"/>
      </w:pPr>
    </w:lvl>
  </w:abstractNum>
  <w:abstractNum w:abstractNumId="6" w15:restartNumberingAfterBreak="0">
    <w:nsid w:val="310416CA"/>
    <w:multiLevelType w:val="hybridMultilevel"/>
    <w:tmpl w:val="072EDEC8"/>
    <w:lvl w:ilvl="0" w:tplc="6D6894D0">
      <w:start w:val="1"/>
      <w:numFmt w:val="bullet"/>
      <w:pStyle w:val="subclause2Bullet2"/>
      <w:lvlText w:val=""/>
      <w:lvlJc w:val="left"/>
      <w:pPr>
        <w:ind w:left="2279" w:hanging="360"/>
      </w:pPr>
      <w:rPr>
        <w:rFonts w:ascii="Symbol" w:hAnsi="Symbol" w:hint="default"/>
        <w:color w:val="000000"/>
      </w:rPr>
    </w:lvl>
    <w:lvl w:ilvl="1" w:tplc="8A369F42" w:tentative="1">
      <w:start w:val="1"/>
      <w:numFmt w:val="bullet"/>
      <w:lvlText w:val="o"/>
      <w:lvlJc w:val="left"/>
      <w:pPr>
        <w:ind w:left="2999" w:hanging="360"/>
      </w:pPr>
      <w:rPr>
        <w:rFonts w:ascii="Courier New" w:hAnsi="Courier New" w:cs="Courier New" w:hint="default"/>
      </w:rPr>
    </w:lvl>
    <w:lvl w:ilvl="2" w:tplc="1EF4CF38" w:tentative="1">
      <w:start w:val="1"/>
      <w:numFmt w:val="bullet"/>
      <w:lvlText w:val=""/>
      <w:lvlJc w:val="left"/>
      <w:pPr>
        <w:ind w:left="3719" w:hanging="360"/>
      </w:pPr>
      <w:rPr>
        <w:rFonts w:ascii="Wingdings" w:hAnsi="Wingdings" w:hint="default"/>
      </w:rPr>
    </w:lvl>
    <w:lvl w:ilvl="3" w:tplc="102AA17E" w:tentative="1">
      <w:start w:val="1"/>
      <w:numFmt w:val="bullet"/>
      <w:lvlText w:val=""/>
      <w:lvlJc w:val="left"/>
      <w:pPr>
        <w:ind w:left="4439" w:hanging="360"/>
      </w:pPr>
      <w:rPr>
        <w:rFonts w:ascii="Symbol" w:hAnsi="Symbol" w:hint="default"/>
      </w:rPr>
    </w:lvl>
    <w:lvl w:ilvl="4" w:tplc="EFCAC422" w:tentative="1">
      <w:start w:val="1"/>
      <w:numFmt w:val="bullet"/>
      <w:lvlText w:val="o"/>
      <w:lvlJc w:val="left"/>
      <w:pPr>
        <w:ind w:left="5159" w:hanging="360"/>
      </w:pPr>
      <w:rPr>
        <w:rFonts w:ascii="Courier New" w:hAnsi="Courier New" w:cs="Courier New" w:hint="default"/>
      </w:rPr>
    </w:lvl>
    <w:lvl w:ilvl="5" w:tplc="03A0561A" w:tentative="1">
      <w:start w:val="1"/>
      <w:numFmt w:val="bullet"/>
      <w:lvlText w:val=""/>
      <w:lvlJc w:val="left"/>
      <w:pPr>
        <w:ind w:left="5879" w:hanging="360"/>
      </w:pPr>
      <w:rPr>
        <w:rFonts w:ascii="Wingdings" w:hAnsi="Wingdings" w:hint="default"/>
      </w:rPr>
    </w:lvl>
    <w:lvl w:ilvl="6" w:tplc="79E49FF8" w:tentative="1">
      <w:start w:val="1"/>
      <w:numFmt w:val="bullet"/>
      <w:lvlText w:val=""/>
      <w:lvlJc w:val="left"/>
      <w:pPr>
        <w:ind w:left="6599" w:hanging="360"/>
      </w:pPr>
      <w:rPr>
        <w:rFonts w:ascii="Symbol" w:hAnsi="Symbol" w:hint="default"/>
      </w:rPr>
    </w:lvl>
    <w:lvl w:ilvl="7" w:tplc="6982FE7C" w:tentative="1">
      <w:start w:val="1"/>
      <w:numFmt w:val="bullet"/>
      <w:lvlText w:val="o"/>
      <w:lvlJc w:val="left"/>
      <w:pPr>
        <w:ind w:left="7319" w:hanging="360"/>
      </w:pPr>
      <w:rPr>
        <w:rFonts w:ascii="Courier New" w:hAnsi="Courier New" w:cs="Courier New" w:hint="default"/>
      </w:rPr>
    </w:lvl>
    <w:lvl w:ilvl="8" w:tplc="6794F942" w:tentative="1">
      <w:start w:val="1"/>
      <w:numFmt w:val="bullet"/>
      <w:lvlText w:val=""/>
      <w:lvlJc w:val="left"/>
      <w:pPr>
        <w:ind w:left="8039" w:hanging="360"/>
      </w:pPr>
      <w:rPr>
        <w:rFonts w:ascii="Wingdings" w:hAnsi="Wingdings" w:hint="default"/>
      </w:rPr>
    </w:lvl>
  </w:abstractNum>
  <w:abstractNum w:abstractNumId="7" w15:restartNumberingAfterBreak="0">
    <w:nsid w:val="31E9741F"/>
    <w:multiLevelType w:val="hybridMultilevel"/>
    <w:tmpl w:val="0CAC7D4E"/>
    <w:lvl w:ilvl="0" w:tplc="DDA4868A">
      <w:start w:val="1"/>
      <w:numFmt w:val="bullet"/>
      <w:pStyle w:val="BulletList2"/>
      <w:lvlText w:val=""/>
      <w:lvlJc w:val="left"/>
      <w:pPr>
        <w:tabs>
          <w:tab w:val="num" w:pos="1077"/>
        </w:tabs>
        <w:ind w:left="1077" w:hanging="357"/>
      </w:pPr>
      <w:rPr>
        <w:rFonts w:ascii="Symbol" w:hAnsi="Symbol" w:hint="default"/>
        <w:color w:val="000000"/>
      </w:rPr>
    </w:lvl>
    <w:lvl w:ilvl="1" w:tplc="C8DAE914" w:tentative="1">
      <w:start w:val="1"/>
      <w:numFmt w:val="bullet"/>
      <w:lvlText w:val="o"/>
      <w:lvlJc w:val="left"/>
      <w:pPr>
        <w:tabs>
          <w:tab w:val="num" w:pos="1440"/>
        </w:tabs>
        <w:ind w:left="1440" w:hanging="360"/>
      </w:pPr>
      <w:rPr>
        <w:rFonts w:ascii="Courier New" w:hAnsi="Courier New" w:cs="Courier New" w:hint="default"/>
      </w:rPr>
    </w:lvl>
    <w:lvl w:ilvl="2" w:tplc="4F5A84C2" w:tentative="1">
      <w:start w:val="1"/>
      <w:numFmt w:val="bullet"/>
      <w:lvlText w:val=""/>
      <w:lvlJc w:val="left"/>
      <w:pPr>
        <w:tabs>
          <w:tab w:val="num" w:pos="2160"/>
        </w:tabs>
        <w:ind w:left="2160" w:hanging="360"/>
      </w:pPr>
      <w:rPr>
        <w:rFonts w:ascii="Wingdings" w:hAnsi="Wingdings" w:hint="default"/>
      </w:rPr>
    </w:lvl>
    <w:lvl w:ilvl="3" w:tplc="91F03FCC" w:tentative="1">
      <w:start w:val="1"/>
      <w:numFmt w:val="bullet"/>
      <w:lvlText w:val=""/>
      <w:lvlJc w:val="left"/>
      <w:pPr>
        <w:tabs>
          <w:tab w:val="num" w:pos="2880"/>
        </w:tabs>
        <w:ind w:left="2880" w:hanging="360"/>
      </w:pPr>
      <w:rPr>
        <w:rFonts w:ascii="Symbol" w:hAnsi="Symbol" w:hint="default"/>
      </w:rPr>
    </w:lvl>
    <w:lvl w:ilvl="4" w:tplc="CFFEE6F0" w:tentative="1">
      <w:start w:val="1"/>
      <w:numFmt w:val="bullet"/>
      <w:lvlText w:val="o"/>
      <w:lvlJc w:val="left"/>
      <w:pPr>
        <w:tabs>
          <w:tab w:val="num" w:pos="3600"/>
        </w:tabs>
        <w:ind w:left="3600" w:hanging="360"/>
      </w:pPr>
      <w:rPr>
        <w:rFonts w:ascii="Courier New" w:hAnsi="Courier New" w:cs="Courier New" w:hint="default"/>
      </w:rPr>
    </w:lvl>
    <w:lvl w:ilvl="5" w:tplc="1E0AB172" w:tentative="1">
      <w:start w:val="1"/>
      <w:numFmt w:val="bullet"/>
      <w:lvlText w:val=""/>
      <w:lvlJc w:val="left"/>
      <w:pPr>
        <w:tabs>
          <w:tab w:val="num" w:pos="4320"/>
        </w:tabs>
        <w:ind w:left="4320" w:hanging="360"/>
      </w:pPr>
      <w:rPr>
        <w:rFonts w:ascii="Wingdings" w:hAnsi="Wingdings" w:hint="default"/>
      </w:rPr>
    </w:lvl>
    <w:lvl w:ilvl="6" w:tplc="055866EA" w:tentative="1">
      <w:start w:val="1"/>
      <w:numFmt w:val="bullet"/>
      <w:lvlText w:val=""/>
      <w:lvlJc w:val="left"/>
      <w:pPr>
        <w:tabs>
          <w:tab w:val="num" w:pos="5040"/>
        </w:tabs>
        <w:ind w:left="5040" w:hanging="360"/>
      </w:pPr>
      <w:rPr>
        <w:rFonts w:ascii="Symbol" w:hAnsi="Symbol" w:hint="default"/>
      </w:rPr>
    </w:lvl>
    <w:lvl w:ilvl="7" w:tplc="A56834A6" w:tentative="1">
      <w:start w:val="1"/>
      <w:numFmt w:val="bullet"/>
      <w:lvlText w:val="o"/>
      <w:lvlJc w:val="left"/>
      <w:pPr>
        <w:tabs>
          <w:tab w:val="num" w:pos="5760"/>
        </w:tabs>
        <w:ind w:left="5760" w:hanging="360"/>
      </w:pPr>
      <w:rPr>
        <w:rFonts w:ascii="Courier New" w:hAnsi="Courier New" w:cs="Courier New" w:hint="default"/>
      </w:rPr>
    </w:lvl>
    <w:lvl w:ilvl="8" w:tplc="28B85F5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D1335E"/>
    <w:multiLevelType w:val="hybridMultilevel"/>
    <w:tmpl w:val="1130E4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CC668D"/>
    <w:multiLevelType w:val="hybridMultilevel"/>
    <w:tmpl w:val="594C4DAE"/>
    <w:lvl w:ilvl="0" w:tplc="10D0811E">
      <w:start w:val="1"/>
      <w:numFmt w:val="bullet"/>
      <w:pStyle w:val="Bullet4"/>
      <w:lvlText w:val=""/>
      <w:lvlJc w:val="left"/>
      <w:pPr>
        <w:tabs>
          <w:tab w:val="num" w:pos="2676"/>
        </w:tabs>
        <w:ind w:left="2676" w:hanging="357"/>
      </w:pPr>
      <w:rPr>
        <w:rFonts w:ascii="Symbol" w:hAnsi="Symbol" w:hint="default"/>
        <w:color w:val="000000"/>
      </w:rPr>
    </w:lvl>
    <w:lvl w:ilvl="1" w:tplc="01CA0692" w:tentative="1">
      <w:start w:val="1"/>
      <w:numFmt w:val="bullet"/>
      <w:lvlText w:val="o"/>
      <w:lvlJc w:val="left"/>
      <w:pPr>
        <w:tabs>
          <w:tab w:val="num" w:pos="1440"/>
        </w:tabs>
        <w:ind w:left="1440" w:hanging="360"/>
      </w:pPr>
      <w:rPr>
        <w:rFonts w:ascii="Courier New" w:hAnsi="Courier New" w:cs="Courier New" w:hint="default"/>
      </w:rPr>
    </w:lvl>
    <w:lvl w:ilvl="2" w:tplc="5CDA9E76" w:tentative="1">
      <w:start w:val="1"/>
      <w:numFmt w:val="bullet"/>
      <w:lvlText w:val=""/>
      <w:lvlJc w:val="left"/>
      <w:pPr>
        <w:tabs>
          <w:tab w:val="num" w:pos="2160"/>
        </w:tabs>
        <w:ind w:left="2160" w:hanging="360"/>
      </w:pPr>
      <w:rPr>
        <w:rFonts w:ascii="Wingdings" w:hAnsi="Wingdings" w:hint="default"/>
      </w:rPr>
    </w:lvl>
    <w:lvl w:ilvl="3" w:tplc="A5F641B4" w:tentative="1">
      <w:start w:val="1"/>
      <w:numFmt w:val="bullet"/>
      <w:lvlText w:val=""/>
      <w:lvlJc w:val="left"/>
      <w:pPr>
        <w:tabs>
          <w:tab w:val="num" w:pos="2880"/>
        </w:tabs>
        <w:ind w:left="2880" w:hanging="360"/>
      </w:pPr>
      <w:rPr>
        <w:rFonts w:ascii="Symbol" w:hAnsi="Symbol" w:hint="default"/>
      </w:rPr>
    </w:lvl>
    <w:lvl w:ilvl="4" w:tplc="F33E4F02" w:tentative="1">
      <w:start w:val="1"/>
      <w:numFmt w:val="bullet"/>
      <w:lvlText w:val="o"/>
      <w:lvlJc w:val="left"/>
      <w:pPr>
        <w:tabs>
          <w:tab w:val="num" w:pos="3600"/>
        </w:tabs>
        <w:ind w:left="3600" w:hanging="360"/>
      </w:pPr>
      <w:rPr>
        <w:rFonts w:ascii="Courier New" w:hAnsi="Courier New" w:cs="Courier New" w:hint="default"/>
      </w:rPr>
    </w:lvl>
    <w:lvl w:ilvl="5" w:tplc="8C8EA784" w:tentative="1">
      <w:start w:val="1"/>
      <w:numFmt w:val="bullet"/>
      <w:lvlText w:val=""/>
      <w:lvlJc w:val="left"/>
      <w:pPr>
        <w:tabs>
          <w:tab w:val="num" w:pos="4320"/>
        </w:tabs>
        <w:ind w:left="4320" w:hanging="360"/>
      </w:pPr>
      <w:rPr>
        <w:rFonts w:ascii="Wingdings" w:hAnsi="Wingdings" w:hint="default"/>
      </w:rPr>
    </w:lvl>
    <w:lvl w:ilvl="6" w:tplc="22E07852" w:tentative="1">
      <w:start w:val="1"/>
      <w:numFmt w:val="bullet"/>
      <w:lvlText w:val=""/>
      <w:lvlJc w:val="left"/>
      <w:pPr>
        <w:tabs>
          <w:tab w:val="num" w:pos="5040"/>
        </w:tabs>
        <w:ind w:left="5040" w:hanging="360"/>
      </w:pPr>
      <w:rPr>
        <w:rFonts w:ascii="Symbol" w:hAnsi="Symbol" w:hint="default"/>
      </w:rPr>
    </w:lvl>
    <w:lvl w:ilvl="7" w:tplc="61DCC400" w:tentative="1">
      <w:start w:val="1"/>
      <w:numFmt w:val="bullet"/>
      <w:lvlText w:val="o"/>
      <w:lvlJc w:val="left"/>
      <w:pPr>
        <w:tabs>
          <w:tab w:val="num" w:pos="5760"/>
        </w:tabs>
        <w:ind w:left="5760" w:hanging="360"/>
      </w:pPr>
      <w:rPr>
        <w:rFonts w:ascii="Courier New" w:hAnsi="Courier New" w:cs="Courier New" w:hint="default"/>
      </w:rPr>
    </w:lvl>
    <w:lvl w:ilvl="8" w:tplc="D48C805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1" w15:restartNumberingAfterBreak="0">
    <w:nsid w:val="38130038"/>
    <w:multiLevelType w:val="hybridMultilevel"/>
    <w:tmpl w:val="FF8A0FAE"/>
    <w:lvl w:ilvl="0" w:tplc="ECD8CAA2">
      <w:start w:val="1"/>
      <w:numFmt w:val="bullet"/>
      <w:pStyle w:val="ClauseBullet2"/>
      <w:lvlText w:val=""/>
      <w:lvlJc w:val="left"/>
      <w:pPr>
        <w:ind w:left="1440" w:hanging="360"/>
      </w:pPr>
      <w:rPr>
        <w:rFonts w:ascii="Symbol" w:hAnsi="Symbol" w:hint="default"/>
        <w:color w:val="000000"/>
      </w:rPr>
    </w:lvl>
    <w:lvl w:ilvl="1" w:tplc="5D7CF918" w:tentative="1">
      <w:start w:val="1"/>
      <w:numFmt w:val="bullet"/>
      <w:lvlText w:val="o"/>
      <w:lvlJc w:val="left"/>
      <w:pPr>
        <w:ind w:left="2160" w:hanging="360"/>
      </w:pPr>
      <w:rPr>
        <w:rFonts w:ascii="Courier New" w:hAnsi="Courier New" w:cs="Courier New" w:hint="default"/>
      </w:rPr>
    </w:lvl>
    <w:lvl w:ilvl="2" w:tplc="99E2E026" w:tentative="1">
      <w:start w:val="1"/>
      <w:numFmt w:val="bullet"/>
      <w:lvlText w:val=""/>
      <w:lvlJc w:val="left"/>
      <w:pPr>
        <w:ind w:left="2880" w:hanging="360"/>
      </w:pPr>
      <w:rPr>
        <w:rFonts w:ascii="Wingdings" w:hAnsi="Wingdings" w:hint="default"/>
      </w:rPr>
    </w:lvl>
    <w:lvl w:ilvl="3" w:tplc="BFC8F0F6" w:tentative="1">
      <w:start w:val="1"/>
      <w:numFmt w:val="bullet"/>
      <w:lvlText w:val=""/>
      <w:lvlJc w:val="left"/>
      <w:pPr>
        <w:ind w:left="3600" w:hanging="360"/>
      </w:pPr>
      <w:rPr>
        <w:rFonts w:ascii="Symbol" w:hAnsi="Symbol" w:hint="default"/>
      </w:rPr>
    </w:lvl>
    <w:lvl w:ilvl="4" w:tplc="C3E27114" w:tentative="1">
      <w:start w:val="1"/>
      <w:numFmt w:val="bullet"/>
      <w:lvlText w:val="o"/>
      <w:lvlJc w:val="left"/>
      <w:pPr>
        <w:ind w:left="4320" w:hanging="360"/>
      </w:pPr>
      <w:rPr>
        <w:rFonts w:ascii="Courier New" w:hAnsi="Courier New" w:cs="Courier New" w:hint="default"/>
      </w:rPr>
    </w:lvl>
    <w:lvl w:ilvl="5" w:tplc="924A898E" w:tentative="1">
      <w:start w:val="1"/>
      <w:numFmt w:val="bullet"/>
      <w:lvlText w:val=""/>
      <w:lvlJc w:val="left"/>
      <w:pPr>
        <w:ind w:left="5040" w:hanging="360"/>
      </w:pPr>
      <w:rPr>
        <w:rFonts w:ascii="Wingdings" w:hAnsi="Wingdings" w:hint="default"/>
      </w:rPr>
    </w:lvl>
    <w:lvl w:ilvl="6" w:tplc="75F01542" w:tentative="1">
      <w:start w:val="1"/>
      <w:numFmt w:val="bullet"/>
      <w:lvlText w:val=""/>
      <w:lvlJc w:val="left"/>
      <w:pPr>
        <w:ind w:left="5760" w:hanging="360"/>
      </w:pPr>
      <w:rPr>
        <w:rFonts w:ascii="Symbol" w:hAnsi="Symbol" w:hint="default"/>
      </w:rPr>
    </w:lvl>
    <w:lvl w:ilvl="7" w:tplc="EC566610" w:tentative="1">
      <w:start w:val="1"/>
      <w:numFmt w:val="bullet"/>
      <w:lvlText w:val="o"/>
      <w:lvlJc w:val="left"/>
      <w:pPr>
        <w:ind w:left="6480" w:hanging="360"/>
      </w:pPr>
      <w:rPr>
        <w:rFonts w:ascii="Courier New" w:hAnsi="Courier New" w:cs="Courier New" w:hint="default"/>
      </w:rPr>
    </w:lvl>
    <w:lvl w:ilvl="8" w:tplc="D68C3D5A" w:tentative="1">
      <w:start w:val="1"/>
      <w:numFmt w:val="bullet"/>
      <w:lvlText w:val=""/>
      <w:lvlJc w:val="left"/>
      <w:pPr>
        <w:ind w:left="7200" w:hanging="360"/>
      </w:pPr>
      <w:rPr>
        <w:rFonts w:ascii="Wingdings" w:hAnsi="Wingdings" w:hint="default"/>
      </w:rPr>
    </w:lvl>
  </w:abstractNum>
  <w:abstractNum w:abstractNumId="12" w15:restartNumberingAfterBreak="0">
    <w:nsid w:val="44D67987"/>
    <w:multiLevelType w:val="hybridMultilevel"/>
    <w:tmpl w:val="EBD6FB80"/>
    <w:lvl w:ilvl="0" w:tplc="570AACB2">
      <w:start w:val="1"/>
      <w:numFmt w:val="bullet"/>
      <w:pStyle w:val="subclause1Bullet2"/>
      <w:lvlText w:val=""/>
      <w:lvlJc w:val="left"/>
      <w:pPr>
        <w:ind w:left="1440" w:hanging="360"/>
      </w:pPr>
      <w:rPr>
        <w:rFonts w:ascii="Symbol" w:hAnsi="Symbol" w:hint="default"/>
        <w:color w:val="000000"/>
      </w:rPr>
    </w:lvl>
    <w:lvl w:ilvl="1" w:tplc="D4BE2794" w:tentative="1">
      <w:start w:val="1"/>
      <w:numFmt w:val="bullet"/>
      <w:lvlText w:val="o"/>
      <w:lvlJc w:val="left"/>
      <w:pPr>
        <w:ind w:left="2160" w:hanging="360"/>
      </w:pPr>
      <w:rPr>
        <w:rFonts w:ascii="Courier New" w:hAnsi="Courier New" w:cs="Courier New" w:hint="default"/>
      </w:rPr>
    </w:lvl>
    <w:lvl w:ilvl="2" w:tplc="BDE2FFDC" w:tentative="1">
      <w:start w:val="1"/>
      <w:numFmt w:val="bullet"/>
      <w:lvlText w:val=""/>
      <w:lvlJc w:val="left"/>
      <w:pPr>
        <w:ind w:left="2880" w:hanging="360"/>
      </w:pPr>
      <w:rPr>
        <w:rFonts w:ascii="Wingdings" w:hAnsi="Wingdings" w:hint="default"/>
      </w:rPr>
    </w:lvl>
    <w:lvl w:ilvl="3" w:tplc="535205FE" w:tentative="1">
      <w:start w:val="1"/>
      <w:numFmt w:val="bullet"/>
      <w:lvlText w:val=""/>
      <w:lvlJc w:val="left"/>
      <w:pPr>
        <w:ind w:left="3600" w:hanging="360"/>
      </w:pPr>
      <w:rPr>
        <w:rFonts w:ascii="Symbol" w:hAnsi="Symbol" w:hint="default"/>
      </w:rPr>
    </w:lvl>
    <w:lvl w:ilvl="4" w:tplc="4CF8184A" w:tentative="1">
      <w:start w:val="1"/>
      <w:numFmt w:val="bullet"/>
      <w:lvlText w:val="o"/>
      <w:lvlJc w:val="left"/>
      <w:pPr>
        <w:ind w:left="4320" w:hanging="360"/>
      </w:pPr>
      <w:rPr>
        <w:rFonts w:ascii="Courier New" w:hAnsi="Courier New" w:cs="Courier New" w:hint="default"/>
      </w:rPr>
    </w:lvl>
    <w:lvl w:ilvl="5" w:tplc="40AA3748" w:tentative="1">
      <w:start w:val="1"/>
      <w:numFmt w:val="bullet"/>
      <w:lvlText w:val=""/>
      <w:lvlJc w:val="left"/>
      <w:pPr>
        <w:ind w:left="5040" w:hanging="360"/>
      </w:pPr>
      <w:rPr>
        <w:rFonts w:ascii="Wingdings" w:hAnsi="Wingdings" w:hint="default"/>
      </w:rPr>
    </w:lvl>
    <w:lvl w:ilvl="6" w:tplc="2B6E7F78" w:tentative="1">
      <w:start w:val="1"/>
      <w:numFmt w:val="bullet"/>
      <w:lvlText w:val=""/>
      <w:lvlJc w:val="left"/>
      <w:pPr>
        <w:ind w:left="5760" w:hanging="360"/>
      </w:pPr>
      <w:rPr>
        <w:rFonts w:ascii="Symbol" w:hAnsi="Symbol" w:hint="default"/>
      </w:rPr>
    </w:lvl>
    <w:lvl w:ilvl="7" w:tplc="BADCFBA8" w:tentative="1">
      <w:start w:val="1"/>
      <w:numFmt w:val="bullet"/>
      <w:lvlText w:val="o"/>
      <w:lvlJc w:val="left"/>
      <w:pPr>
        <w:ind w:left="6480" w:hanging="360"/>
      </w:pPr>
      <w:rPr>
        <w:rFonts w:ascii="Courier New" w:hAnsi="Courier New" w:cs="Courier New" w:hint="default"/>
      </w:rPr>
    </w:lvl>
    <w:lvl w:ilvl="8" w:tplc="FFE0CA20" w:tentative="1">
      <w:start w:val="1"/>
      <w:numFmt w:val="bullet"/>
      <w:lvlText w:val=""/>
      <w:lvlJc w:val="left"/>
      <w:pPr>
        <w:ind w:left="7200" w:hanging="360"/>
      </w:pPr>
      <w:rPr>
        <w:rFonts w:ascii="Wingdings" w:hAnsi="Wingdings" w:hint="default"/>
      </w:rPr>
    </w:lvl>
  </w:abstractNum>
  <w:abstractNum w:abstractNumId="13" w15:restartNumberingAfterBreak="0">
    <w:nsid w:val="44E96665"/>
    <w:multiLevelType w:val="hybridMultilevel"/>
    <w:tmpl w:val="EF1E142A"/>
    <w:lvl w:ilvl="0" w:tplc="52865D50">
      <w:start w:val="1"/>
      <w:numFmt w:val="bullet"/>
      <w:pStyle w:val="subclause3Bullet1"/>
      <w:lvlText w:val=""/>
      <w:lvlJc w:val="left"/>
      <w:pPr>
        <w:ind w:left="2988" w:hanging="360"/>
      </w:pPr>
      <w:rPr>
        <w:rFonts w:ascii="Symbol" w:hAnsi="Symbol" w:hint="default"/>
        <w:color w:val="000000"/>
      </w:rPr>
    </w:lvl>
    <w:lvl w:ilvl="1" w:tplc="548250F2" w:tentative="1">
      <w:start w:val="1"/>
      <w:numFmt w:val="bullet"/>
      <w:lvlText w:val="o"/>
      <w:lvlJc w:val="left"/>
      <w:pPr>
        <w:ind w:left="3708" w:hanging="360"/>
      </w:pPr>
      <w:rPr>
        <w:rFonts w:ascii="Courier New" w:hAnsi="Courier New" w:cs="Courier New" w:hint="default"/>
      </w:rPr>
    </w:lvl>
    <w:lvl w:ilvl="2" w:tplc="AB80D74E" w:tentative="1">
      <w:start w:val="1"/>
      <w:numFmt w:val="bullet"/>
      <w:lvlText w:val=""/>
      <w:lvlJc w:val="left"/>
      <w:pPr>
        <w:ind w:left="4428" w:hanging="360"/>
      </w:pPr>
      <w:rPr>
        <w:rFonts w:ascii="Wingdings" w:hAnsi="Wingdings" w:hint="default"/>
      </w:rPr>
    </w:lvl>
    <w:lvl w:ilvl="3" w:tplc="43B62DFC" w:tentative="1">
      <w:start w:val="1"/>
      <w:numFmt w:val="bullet"/>
      <w:lvlText w:val=""/>
      <w:lvlJc w:val="left"/>
      <w:pPr>
        <w:ind w:left="5148" w:hanging="360"/>
      </w:pPr>
      <w:rPr>
        <w:rFonts w:ascii="Symbol" w:hAnsi="Symbol" w:hint="default"/>
      </w:rPr>
    </w:lvl>
    <w:lvl w:ilvl="4" w:tplc="75665D8E" w:tentative="1">
      <w:start w:val="1"/>
      <w:numFmt w:val="bullet"/>
      <w:lvlText w:val="o"/>
      <w:lvlJc w:val="left"/>
      <w:pPr>
        <w:ind w:left="5868" w:hanging="360"/>
      </w:pPr>
      <w:rPr>
        <w:rFonts w:ascii="Courier New" w:hAnsi="Courier New" w:cs="Courier New" w:hint="default"/>
      </w:rPr>
    </w:lvl>
    <w:lvl w:ilvl="5" w:tplc="8C763584" w:tentative="1">
      <w:start w:val="1"/>
      <w:numFmt w:val="bullet"/>
      <w:lvlText w:val=""/>
      <w:lvlJc w:val="left"/>
      <w:pPr>
        <w:ind w:left="6588" w:hanging="360"/>
      </w:pPr>
      <w:rPr>
        <w:rFonts w:ascii="Wingdings" w:hAnsi="Wingdings" w:hint="default"/>
      </w:rPr>
    </w:lvl>
    <w:lvl w:ilvl="6" w:tplc="658E6FCA" w:tentative="1">
      <w:start w:val="1"/>
      <w:numFmt w:val="bullet"/>
      <w:lvlText w:val=""/>
      <w:lvlJc w:val="left"/>
      <w:pPr>
        <w:ind w:left="7308" w:hanging="360"/>
      </w:pPr>
      <w:rPr>
        <w:rFonts w:ascii="Symbol" w:hAnsi="Symbol" w:hint="default"/>
      </w:rPr>
    </w:lvl>
    <w:lvl w:ilvl="7" w:tplc="FA16AD50" w:tentative="1">
      <w:start w:val="1"/>
      <w:numFmt w:val="bullet"/>
      <w:lvlText w:val="o"/>
      <w:lvlJc w:val="left"/>
      <w:pPr>
        <w:ind w:left="8028" w:hanging="360"/>
      </w:pPr>
      <w:rPr>
        <w:rFonts w:ascii="Courier New" w:hAnsi="Courier New" w:cs="Courier New" w:hint="default"/>
      </w:rPr>
    </w:lvl>
    <w:lvl w:ilvl="8" w:tplc="41F0F37A" w:tentative="1">
      <w:start w:val="1"/>
      <w:numFmt w:val="bullet"/>
      <w:lvlText w:val=""/>
      <w:lvlJc w:val="left"/>
      <w:pPr>
        <w:ind w:left="8748" w:hanging="360"/>
      </w:pPr>
      <w:rPr>
        <w:rFonts w:ascii="Wingdings" w:hAnsi="Wingdings" w:hint="default"/>
      </w:rPr>
    </w:lvl>
  </w:abstractNum>
  <w:abstractNum w:abstractNumId="14" w15:restartNumberingAfterBreak="0">
    <w:nsid w:val="46AC04C6"/>
    <w:multiLevelType w:val="hybridMultilevel"/>
    <w:tmpl w:val="E6C47700"/>
    <w:lvl w:ilvl="0" w:tplc="A32C6B24">
      <w:start w:val="1"/>
      <w:numFmt w:val="bullet"/>
      <w:pStyle w:val="subclause2Bullet1"/>
      <w:lvlText w:val=""/>
      <w:lvlJc w:val="left"/>
      <w:pPr>
        <w:ind w:left="2279" w:hanging="360"/>
      </w:pPr>
      <w:rPr>
        <w:rFonts w:ascii="Symbol" w:hAnsi="Symbol" w:hint="default"/>
        <w:color w:val="000000"/>
      </w:rPr>
    </w:lvl>
    <w:lvl w:ilvl="1" w:tplc="9EF6E1B0" w:tentative="1">
      <w:start w:val="1"/>
      <w:numFmt w:val="bullet"/>
      <w:lvlText w:val="o"/>
      <w:lvlJc w:val="left"/>
      <w:pPr>
        <w:ind w:left="2999" w:hanging="360"/>
      </w:pPr>
      <w:rPr>
        <w:rFonts w:ascii="Courier New" w:hAnsi="Courier New" w:cs="Courier New" w:hint="default"/>
      </w:rPr>
    </w:lvl>
    <w:lvl w:ilvl="2" w:tplc="ABD45A66" w:tentative="1">
      <w:start w:val="1"/>
      <w:numFmt w:val="bullet"/>
      <w:lvlText w:val=""/>
      <w:lvlJc w:val="left"/>
      <w:pPr>
        <w:ind w:left="3719" w:hanging="360"/>
      </w:pPr>
      <w:rPr>
        <w:rFonts w:ascii="Wingdings" w:hAnsi="Wingdings" w:hint="default"/>
      </w:rPr>
    </w:lvl>
    <w:lvl w:ilvl="3" w:tplc="72CA3D78" w:tentative="1">
      <w:start w:val="1"/>
      <w:numFmt w:val="bullet"/>
      <w:lvlText w:val=""/>
      <w:lvlJc w:val="left"/>
      <w:pPr>
        <w:ind w:left="4439" w:hanging="360"/>
      </w:pPr>
      <w:rPr>
        <w:rFonts w:ascii="Symbol" w:hAnsi="Symbol" w:hint="default"/>
      </w:rPr>
    </w:lvl>
    <w:lvl w:ilvl="4" w:tplc="8E3C405C" w:tentative="1">
      <w:start w:val="1"/>
      <w:numFmt w:val="bullet"/>
      <w:lvlText w:val="o"/>
      <w:lvlJc w:val="left"/>
      <w:pPr>
        <w:ind w:left="5159" w:hanging="360"/>
      </w:pPr>
      <w:rPr>
        <w:rFonts w:ascii="Courier New" w:hAnsi="Courier New" w:cs="Courier New" w:hint="default"/>
      </w:rPr>
    </w:lvl>
    <w:lvl w:ilvl="5" w:tplc="60A87132" w:tentative="1">
      <w:start w:val="1"/>
      <w:numFmt w:val="bullet"/>
      <w:lvlText w:val=""/>
      <w:lvlJc w:val="left"/>
      <w:pPr>
        <w:ind w:left="5879" w:hanging="360"/>
      </w:pPr>
      <w:rPr>
        <w:rFonts w:ascii="Wingdings" w:hAnsi="Wingdings" w:hint="default"/>
      </w:rPr>
    </w:lvl>
    <w:lvl w:ilvl="6" w:tplc="219498B4" w:tentative="1">
      <w:start w:val="1"/>
      <w:numFmt w:val="bullet"/>
      <w:lvlText w:val=""/>
      <w:lvlJc w:val="left"/>
      <w:pPr>
        <w:ind w:left="6599" w:hanging="360"/>
      </w:pPr>
      <w:rPr>
        <w:rFonts w:ascii="Symbol" w:hAnsi="Symbol" w:hint="default"/>
      </w:rPr>
    </w:lvl>
    <w:lvl w:ilvl="7" w:tplc="9A3C884E" w:tentative="1">
      <w:start w:val="1"/>
      <w:numFmt w:val="bullet"/>
      <w:lvlText w:val="o"/>
      <w:lvlJc w:val="left"/>
      <w:pPr>
        <w:ind w:left="7319" w:hanging="360"/>
      </w:pPr>
      <w:rPr>
        <w:rFonts w:ascii="Courier New" w:hAnsi="Courier New" w:cs="Courier New" w:hint="default"/>
      </w:rPr>
    </w:lvl>
    <w:lvl w:ilvl="8" w:tplc="A94EA616" w:tentative="1">
      <w:start w:val="1"/>
      <w:numFmt w:val="bullet"/>
      <w:lvlText w:val=""/>
      <w:lvlJc w:val="left"/>
      <w:pPr>
        <w:ind w:left="8039" w:hanging="360"/>
      </w:pPr>
      <w:rPr>
        <w:rFonts w:ascii="Wingdings" w:hAnsi="Wingdings" w:hint="default"/>
      </w:rPr>
    </w:lvl>
  </w:abstractNum>
  <w:abstractNum w:abstractNumId="15" w15:restartNumberingAfterBreak="0">
    <w:nsid w:val="47F42723"/>
    <w:multiLevelType w:val="hybridMultilevel"/>
    <w:tmpl w:val="C5A02EE6"/>
    <w:lvl w:ilvl="0" w:tplc="723833E4">
      <w:start w:val="1"/>
      <w:numFmt w:val="bullet"/>
      <w:pStyle w:val="subclause1Bullet1"/>
      <w:lvlText w:val=""/>
      <w:lvlJc w:val="left"/>
      <w:pPr>
        <w:ind w:left="1440" w:hanging="360"/>
      </w:pPr>
      <w:rPr>
        <w:rFonts w:ascii="Symbol" w:hAnsi="Symbol" w:hint="default"/>
        <w:color w:val="000000"/>
      </w:rPr>
    </w:lvl>
    <w:lvl w:ilvl="1" w:tplc="1570E27E" w:tentative="1">
      <w:start w:val="1"/>
      <w:numFmt w:val="bullet"/>
      <w:lvlText w:val="o"/>
      <w:lvlJc w:val="left"/>
      <w:pPr>
        <w:ind w:left="2160" w:hanging="360"/>
      </w:pPr>
      <w:rPr>
        <w:rFonts w:ascii="Courier New" w:hAnsi="Courier New" w:cs="Courier New" w:hint="default"/>
      </w:rPr>
    </w:lvl>
    <w:lvl w:ilvl="2" w:tplc="838AD96A" w:tentative="1">
      <w:start w:val="1"/>
      <w:numFmt w:val="bullet"/>
      <w:lvlText w:val=""/>
      <w:lvlJc w:val="left"/>
      <w:pPr>
        <w:ind w:left="2880" w:hanging="360"/>
      </w:pPr>
      <w:rPr>
        <w:rFonts w:ascii="Wingdings" w:hAnsi="Wingdings" w:hint="default"/>
      </w:rPr>
    </w:lvl>
    <w:lvl w:ilvl="3" w:tplc="50A08DDA" w:tentative="1">
      <w:start w:val="1"/>
      <w:numFmt w:val="bullet"/>
      <w:lvlText w:val=""/>
      <w:lvlJc w:val="left"/>
      <w:pPr>
        <w:ind w:left="3600" w:hanging="360"/>
      </w:pPr>
      <w:rPr>
        <w:rFonts w:ascii="Symbol" w:hAnsi="Symbol" w:hint="default"/>
      </w:rPr>
    </w:lvl>
    <w:lvl w:ilvl="4" w:tplc="521C74D8" w:tentative="1">
      <w:start w:val="1"/>
      <w:numFmt w:val="bullet"/>
      <w:lvlText w:val="o"/>
      <w:lvlJc w:val="left"/>
      <w:pPr>
        <w:ind w:left="4320" w:hanging="360"/>
      </w:pPr>
      <w:rPr>
        <w:rFonts w:ascii="Courier New" w:hAnsi="Courier New" w:cs="Courier New" w:hint="default"/>
      </w:rPr>
    </w:lvl>
    <w:lvl w:ilvl="5" w:tplc="16E847C0" w:tentative="1">
      <w:start w:val="1"/>
      <w:numFmt w:val="bullet"/>
      <w:lvlText w:val=""/>
      <w:lvlJc w:val="left"/>
      <w:pPr>
        <w:ind w:left="5040" w:hanging="360"/>
      </w:pPr>
      <w:rPr>
        <w:rFonts w:ascii="Wingdings" w:hAnsi="Wingdings" w:hint="default"/>
      </w:rPr>
    </w:lvl>
    <w:lvl w:ilvl="6" w:tplc="04EAD472" w:tentative="1">
      <w:start w:val="1"/>
      <w:numFmt w:val="bullet"/>
      <w:lvlText w:val=""/>
      <w:lvlJc w:val="left"/>
      <w:pPr>
        <w:ind w:left="5760" w:hanging="360"/>
      </w:pPr>
      <w:rPr>
        <w:rFonts w:ascii="Symbol" w:hAnsi="Symbol" w:hint="default"/>
      </w:rPr>
    </w:lvl>
    <w:lvl w:ilvl="7" w:tplc="91920EDE" w:tentative="1">
      <w:start w:val="1"/>
      <w:numFmt w:val="bullet"/>
      <w:lvlText w:val="o"/>
      <w:lvlJc w:val="left"/>
      <w:pPr>
        <w:ind w:left="6480" w:hanging="360"/>
      </w:pPr>
      <w:rPr>
        <w:rFonts w:ascii="Courier New" w:hAnsi="Courier New" w:cs="Courier New" w:hint="default"/>
      </w:rPr>
    </w:lvl>
    <w:lvl w:ilvl="8" w:tplc="BF42CD58" w:tentative="1">
      <w:start w:val="1"/>
      <w:numFmt w:val="bullet"/>
      <w:lvlText w:val=""/>
      <w:lvlJc w:val="left"/>
      <w:pPr>
        <w:ind w:left="7200" w:hanging="360"/>
      </w:pPr>
      <w:rPr>
        <w:rFonts w:ascii="Wingdings" w:hAnsi="Wingdings" w:hint="default"/>
      </w:rPr>
    </w:lvl>
  </w:abstractNum>
  <w:abstractNum w:abstractNumId="16" w15:restartNumberingAfterBreak="0">
    <w:nsid w:val="55CB0AF0"/>
    <w:multiLevelType w:val="hybridMultilevel"/>
    <w:tmpl w:val="EB98B43A"/>
    <w:lvl w:ilvl="0" w:tplc="19D8CD4C">
      <w:start w:val="1"/>
      <w:numFmt w:val="decimal"/>
      <w:pStyle w:val="LongQuestionPara"/>
      <w:lvlText w:val="%1."/>
      <w:lvlJc w:val="left"/>
      <w:pPr>
        <w:ind w:left="360" w:hanging="360"/>
      </w:pPr>
      <w:rPr>
        <w:rFonts w:hint="default"/>
        <w:b/>
        <w:i w:val="0"/>
        <w:color w:val="000000"/>
        <w:sz w:val="24"/>
      </w:rPr>
    </w:lvl>
    <w:lvl w:ilvl="1" w:tplc="7CCC1752" w:tentative="1">
      <w:start w:val="1"/>
      <w:numFmt w:val="lowerLetter"/>
      <w:lvlText w:val="%2."/>
      <w:lvlJc w:val="left"/>
      <w:pPr>
        <w:ind w:left="1440" w:hanging="360"/>
      </w:pPr>
    </w:lvl>
    <w:lvl w:ilvl="2" w:tplc="061000EA" w:tentative="1">
      <w:start w:val="1"/>
      <w:numFmt w:val="lowerRoman"/>
      <w:lvlText w:val="%3."/>
      <w:lvlJc w:val="right"/>
      <w:pPr>
        <w:ind w:left="2160" w:hanging="180"/>
      </w:pPr>
    </w:lvl>
    <w:lvl w:ilvl="3" w:tplc="4910559A" w:tentative="1">
      <w:start w:val="1"/>
      <w:numFmt w:val="decimal"/>
      <w:lvlText w:val="%4."/>
      <w:lvlJc w:val="left"/>
      <w:pPr>
        <w:ind w:left="2880" w:hanging="360"/>
      </w:pPr>
    </w:lvl>
    <w:lvl w:ilvl="4" w:tplc="8C5E553E" w:tentative="1">
      <w:start w:val="1"/>
      <w:numFmt w:val="lowerLetter"/>
      <w:lvlText w:val="%5."/>
      <w:lvlJc w:val="left"/>
      <w:pPr>
        <w:ind w:left="3600" w:hanging="360"/>
      </w:pPr>
    </w:lvl>
    <w:lvl w:ilvl="5" w:tplc="83583944" w:tentative="1">
      <w:start w:val="1"/>
      <w:numFmt w:val="lowerRoman"/>
      <w:lvlText w:val="%6."/>
      <w:lvlJc w:val="right"/>
      <w:pPr>
        <w:ind w:left="4320" w:hanging="180"/>
      </w:pPr>
    </w:lvl>
    <w:lvl w:ilvl="6" w:tplc="2E0E4ADE" w:tentative="1">
      <w:start w:val="1"/>
      <w:numFmt w:val="decimal"/>
      <w:lvlText w:val="%7."/>
      <w:lvlJc w:val="left"/>
      <w:pPr>
        <w:ind w:left="5040" w:hanging="360"/>
      </w:pPr>
    </w:lvl>
    <w:lvl w:ilvl="7" w:tplc="BC467756" w:tentative="1">
      <w:start w:val="1"/>
      <w:numFmt w:val="lowerLetter"/>
      <w:lvlText w:val="%8."/>
      <w:lvlJc w:val="left"/>
      <w:pPr>
        <w:ind w:left="5760" w:hanging="360"/>
      </w:pPr>
    </w:lvl>
    <w:lvl w:ilvl="8" w:tplc="A4BE7638" w:tentative="1">
      <w:start w:val="1"/>
      <w:numFmt w:val="lowerRoman"/>
      <w:lvlText w:val="%9."/>
      <w:lvlJc w:val="right"/>
      <w:pPr>
        <w:ind w:left="6480" w:hanging="180"/>
      </w:pPr>
    </w:lvl>
  </w:abstractNum>
  <w:abstractNum w:abstractNumId="17"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61071422"/>
    <w:multiLevelType w:val="hybridMultilevel"/>
    <w:tmpl w:val="59B858D8"/>
    <w:lvl w:ilvl="0" w:tplc="518A8492">
      <w:start w:val="1"/>
      <w:numFmt w:val="bullet"/>
      <w:pStyle w:val="ClauseBullet1"/>
      <w:lvlText w:val=""/>
      <w:lvlJc w:val="left"/>
      <w:pPr>
        <w:ind w:left="1080" w:hanging="360"/>
      </w:pPr>
      <w:rPr>
        <w:rFonts w:ascii="Symbol" w:hAnsi="Symbol" w:hint="default"/>
        <w:color w:val="000000"/>
      </w:rPr>
    </w:lvl>
    <w:lvl w:ilvl="1" w:tplc="51047810" w:tentative="1">
      <w:start w:val="1"/>
      <w:numFmt w:val="bullet"/>
      <w:lvlText w:val="o"/>
      <w:lvlJc w:val="left"/>
      <w:pPr>
        <w:ind w:left="1800" w:hanging="360"/>
      </w:pPr>
      <w:rPr>
        <w:rFonts w:ascii="Courier New" w:hAnsi="Courier New" w:cs="Courier New" w:hint="default"/>
      </w:rPr>
    </w:lvl>
    <w:lvl w:ilvl="2" w:tplc="74E4E46C" w:tentative="1">
      <w:start w:val="1"/>
      <w:numFmt w:val="bullet"/>
      <w:lvlText w:val=""/>
      <w:lvlJc w:val="left"/>
      <w:pPr>
        <w:ind w:left="2520" w:hanging="360"/>
      </w:pPr>
      <w:rPr>
        <w:rFonts w:ascii="Wingdings" w:hAnsi="Wingdings" w:hint="default"/>
      </w:rPr>
    </w:lvl>
    <w:lvl w:ilvl="3" w:tplc="8506AC24" w:tentative="1">
      <w:start w:val="1"/>
      <w:numFmt w:val="bullet"/>
      <w:lvlText w:val=""/>
      <w:lvlJc w:val="left"/>
      <w:pPr>
        <w:ind w:left="3240" w:hanging="360"/>
      </w:pPr>
      <w:rPr>
        <w:rFonts w:ascii="Symbol" w:hAnsi="Symbol" w:hint="default"/>
      </w:rPr>
    </w:lvl>
    <w:lvl w:ilvl="4" w:tplc="6DF49D4E" w:tentative="1">
      <w:start w:val="1"/>
      <w:numFmt w:val="bullet"/>
      <w:lvlText w:val="o"/>
      <w:lvlJc w:val="left"/>
      <w:pPr>
        <w:ind w:left="3960" w:hanging="360"/>
      </w:pPr>
      <w:rPr>
        <w:rFonts w:ascii="Courier New" w:hAnsi="Courier New" w:cs="Courier New" w:hint="default"/>
      </w:rPr>
    </w:lvl>
    <w:lvl w:ilvl="5" w:tplc="26E6B6E2" w:tentative="1">
      <w:start w:val="1"/>
      <w:numFmt w:val="bullet"/>
      <w:lvlText w:val=""/>
      <w:lvlJc w:val="left"/>
      <w:pPr>
        <w:ind w:left="4680" w:hanging="360"/>
      </w:pPr>
      <w:rPr>
        <w:rFonts w:ascii="Wingdings" w:hAnsi="Wingdings" w:hint="default"/>
      </w:rPr>
    </w:lvl>
    <w:lvl w:ilvl="6" w:tplc="970EA2E8" w:tentative="1">
      <w:start w:val="1"/>
      <w:numFmt w:val="bullet"/>
      <w:lvlText w:val=""/>
      <w:lvlJc w:val="left"/>
      <w:pPr>
        <w:ind w:left="5400" w:hanging="360"/>
      </w:pPr>
      <w:rPr>
        <w:rFonts w:ascii="Symbol" w:hAnsi="Symbol" w:hint="default"/>
      </w:rPr>
    </w:lvl>
    <w:lvl w:ilvl="7" w:tplc="06262276" w:tentative="1">
      <w:start w:val="1"/>
      <w:numFmt w:val="bullet"/>
      <w:lvlText w:val="o"/>
      <w:lvlJc w:val="left"/>
      <w:pPr>
        <w:ind w:left="6120" w:hanging="360"/>
      </w:pPr>
      <w:rPr>
        <w:rFonts w:ascii="Courier New" w:hAnsi="Courier New" w:cs="Courier New" w:hint="default"/>
      </w:rPr>
    </w:lvl>
    <w:lvl w:ilvl="8" w:tplc="94843632" w:tentative="1">
      <w:start w:val="1"/>
      <w:numFmt w:val="bullet"/>
      <w:lvlText w:val=""/>
      <w:lvlJc w:val="left"/>
      <w:pPr>
        <w:ind w:left="6840" w:hanging="360"/>
      </w:pPr>
      <w:rPr>
        <w:rFonts w:ascii="Wingdings" w:hAnsi="Wingdings" w:hint="default"/>
      </w:rPr>
    </w:lvl>
  </w:abstractNum>
  <w:abstractNum w:abstractNumId="19" w15:restartNumberingAfterBreak="0">
    <w:nsid w:val="642371CD"/>
    <w:multiLevelType w:val="hybridMultilevel"/>
    <w:tmpl w:val="3B76A654"/>
    <w:lvl w:ilvl="0" w:tplc="F91AEE98">
      <w:start w:val="1"/>
      <w:numFmt w:val="bullet"/>
      <w:pStyle w:val="subclause3Bullet2"/>
      <w:lvlText w:val=""/>
      <w:lvlJc w:val="left"/>
      <w:pPr>
        <w:ind w:left="3748" w:hanging="360"/>
      </w:pPr>
      <w:rPr>
        <w:rFonts w:ascii="Symbol" w:hAnsi="Symbol" w:hint="default"/>
        <w:color w:val="000000"/>
      </w:rPr>
    </w:lvl>
    <w:lvl w:ilvl="1" w:tplc="BE322F0E" w:tentative="1">
      <w:start w:val="1"/>
      <w:numFmt w:val="bullet"/>
      <w:lvlText w:val="o"/>
      <w:lvlJc w:val="left"/>
      <w:pPr>
        <w:ind w:left="4468" w:hanging="360"/>
      </w:pPr>
      <w:rPr>
        <w:rFonts w:ascii="Courier New" w:hAnsi="Courier New" w:cs="Courier New" w:hint="default"/>
      </w:rPr>
    </w:lvl>
    <w:lvl w:ilvl="2" w:tplc="B27CE0BC" w:tentative="1">
      <w:start w:val="1"/>
      <w:numFmt w:val="bullet"/>
      <w:lvlText w:val=""/>
      <w:lvlJc w:val="left"/>
      <w:pPr>
        <w:ind w:left="5188" w:hanging="360"/>
      </w:pPr>
      <w:rPr>
        <w:rFonts w:ascii="Wingdings" w:hAnsi="Wingdings" w:hint="default"/>
      </w:rPr>
    </w:lvl>
    <w:lvl w:ilvl="3" w:tplc="385ECCB8" w:tentative="1">
      <w:start w:val="1"/>
      <w:numFmt w:val="bullet"/>
      <w:lvlText w:val=""/>
      <w:lvlJc w:val="left"/>
      <w:pPr>
        <w:ind w:left="5908" w:hanging="360"/>
      </w:pPr>
      <w:rPr>
        <w:rFonts w:ascii="Symbol" w:hAnsi="Symbol" w:hint="default"/>
      </w:rPr>
    </w:lvl>
    <w:lvl w:ilvl="4" w:tplc="355A4BE4" w:tentative="1">
      <w:start w:val="1"/>
      <w:numFmt w:val="bullet"/>
      <w:lvlText w:val="o"/>
      <w:lvlJc w:val="left"/>
      <w:pPr>
        <w:ind w:left="6628" w:hanging="360"/>
      </w:pPr>
      <w:rPr>
        <w:rFonts w:ascii="Courier New" w:hAnsi="Courier New" w:cs="Courier New" w:hint="default"/>
      </w:rPr>
    </w:lvl>
    <w:lvl w:ilvl="5" w:tplc="B7E20256" w:tentative="1">
      <w:start w:val="1"/>
      <w:numFmt w:val="bullet"/>
      <w:lvlText w:val=""/>
      <w:lvlJc w:val="left"/>
      <w:pPr>
        <w:ind w:left="7348" w:hanging="360"/>
      </w:pPr>
      <w:rPr>
        <w:rFonts w:ascii="Wingdings" w:hAnsi="Wingdings" w:hint="default"/>
      </w:rPr>
    </w:lvl>
    <w:lvl w:ilvl="6" w:tplc="F968A1D0" w:tentative="1">
      <w:start w:val="1"/>
      <w:numFmt w:val="bullet"/>
      <w:lvlText w:val=""/>
      <w:lvlJc w:val="left"/>
      <w:pPr>
        <w:ind w:left="8068" w:hanging="360"/>
      </w:pPr>
      <w:rPr>
        <w:rFonts w:ascii="Symbol" w:hAnsi="Symbol" w:hint="default"/>
      </w:rPr>
    </w:lvl>
    <w:lvl w:ilvl="7" w:tplc="525C0D2A" w:tentative="1">
      <w:start w:val="1"/>
      <w:numFmt w:val="bullet"/>
      <w:lvlText w:val="o"/>
      <w:lvlJc w:val="left"/>
      <w:pPr>
        <w:ind w:left="8788" w:hanging="360"/>
      </w:pPr>
      <w:rPr>
        <w:rFonts w:ascii="Courier New" w:hAnsi="Courier New" w:cs="Courier New" w:hint="default"/>
      </w:rPr>
    </w:lvl>
    <w:lvl w:ilvl="8" w:tplc="536A667C" w:tentative="1">
      <w:start w:val="1"/>
      <w:numFmt w:val="bullet"/>
      <w:lvlText w:val=""/>
      <w:lvlJc w:val="left"/>
      <w:pPr>
        <w:ind w:left="9508" w:hanging="360"/>
      </w:pPr>
      <w:rPr>
        <w:rFonts w:ascii="Wingdings" w:hAnsi="Wingdings" w:hint="default"/>
      </w:rPr>
    </w:lvl>
  </w:abstractNum>
  <w:abstractNum w:abstractNumId="20"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1" w15:restartNumberingAfterBreak="0">
    <w:nsid w:val="6A14466B"/>
    <w:multiLevelType w:val="hybridMultilevel"/>
    <w:tmpl w:val="2402A666"/>
    <w:lvl w:ilvl="0" w:tplc="0D3E442C">
      <w:start w:val="1"/>
      <w:numFmt w:val="bullet"/>
      <w:pStyle w:val="BulletList1"/>
      <w:lvlText w:val="·"/>
      <w:lvlJc w:val="left"/>
      <w:pPr>
        <w:tabs>
          <w:tab w:val="num" w:pos="360"/>
        </w:tabs>
        <w:ind w:left="360" w:hanging="360"/>
      </w:pPr>
      <w:rPr>
        <w:rFonts w:ascii="Symbol" w:hAnsi="Symbol" w:hint="default"/>
        <w:color w:val="000000"/>
      </w:rPr>
    </w:lvl>
    <w:lvl w:ilvl="1" w:tplc="ABAC6EB6" w:tentative="1">
      <w:start w:val="1"/>
      <w:numFmt w:val="bullet"/>
      <w:lvlText w:val="·"/>
      <w:lvlJc w:val="left"/>
      <w:pPr>
        <w:tabs>
          <w:tab w:val="num" w:pos="1440"/>
        </w:tabs>
        <w:ind w:left="1440" w:hanging="360"/>
      </w:pPr>
      <w:rPr>
        <w:rFonts w:ascii="Symbol" w:hAnsi="Symbol" w:hint="default"/>
      </w:rPr>
    </w:lvl>
    <w:lvl w:ilvl="2" w:tplc="DD3825DA" w:tentative="1">
      <w:start w:val="1"/>
      <w:numFmt w:val="bullet"/>
      <w:lvlText w:val="·"/>
      <w:lvlJc w:val="left"/>
      <w:pPr>
        <w:tabs>
          <w:tab w:val="num" w:pos="2160"/>
        </w:tabs>
        <w:ind w:left="2160" w:hanging="360"/>
      </w:pPr>
      <w:rPr>
        <w:rFonts w:ascii="Symbol" w:hAnsi="Symbol" w:hint="default"/>
      </w:rPr>
    </w:lvl>
    <w:lvl w:ilvl="3" w:tplc="8CC28B34" w:tentative="1">
      <w:start w:val="1"/>
      <w:numFmt w:val="bullet"/>
      <w:lvlText w:val="·"/>
      <w:lvlJc w:val="left"/>
      <w:pPr>
        <w:tabs>
          <w:tab w:val="num" w:pos="2880"/>
        </w:tabs>
        <w:ind w:left="2880" w:hanging="360"/>
      </w:pPr>
      <w:rPr>
        <w:rFonts w:ascii="Symbol" w:hAnsi="Symbol" w:hint="default"/>
      </w:rPr>
    </w:lvl>
    <w:lvl w:ilvl="4" w:tplc="DA9C1766" w:tentative="1">
      <w:start w:val="1"/>
      <w:numFmt w:val="bullet"/>
      <w:lvlText w:val="o"/>
      <w:lvlJc w:val="left"/>
      <w:pPr>
        <w:tabs>
          <w:tab w:val="num" w:pos="3600"/>
        </w:tabs>
        <w:ind w:left="3600" w:hanging="360"/>
      </w:pPr>
      <w:rPr>
        <w:rFonts w:ascii="Courier New" w:hAnsi="Courier New" w:hint="default"/>
      </w:rPr>
    </w:lvl>
    <w:lvl w:ilvl="5" w:tplc="EF344E8A" w:tentative="1">
      <w:start w:val="1"/>
      <w:numFmt w:val="bullet"/>
      <w:lvlText w:val="§"/>
      <w:lvlJc w:val="left"/>
      <w:pPr>
        <w:tabs>
          <w:tab w:val="num" w:pos="4320"/>
        </w:tabs>
        <w:ind w:left="4320" w:hanging="360"/>
      </w:pPr>
      <w:rPr>
        <w:rFonts w:ascii="Wingdings" w:hAnsi="Wingdings" w:hint="default"/>
      </w:rPr>
    </w:lvl>
    <w:lvl w:ilvl="6" w:tplc="88D62382" w:tentative="1">
      <w:start w:val="1"/>
      <w:numFmt w:val="bullet"/>
      <w:lvlText w:val="·"/>
      <w:lvlJc w:val="left"/>
      <w:pPr>
        <w:tabs>
          <w:tab w:val="num" w:pos="5040"/>
        </w:tabs>
        <w:ind w:left="5040" w:hanging="360"/>
      </w:pPr>
      <w:rPr>
        <w:rFonts w:ascii="Symbol" w:hAnsi="Symbol" w:hint="default"/>
      </w:rPr>
    </w:lvl>
    <w:lvl w:ilvl="7" w:tplc="7D3262E6" w:tentative="1">
      <w:start w:val="1"/>
      <w:numFmt w:val="bullet"/>
      <w:lvlText w:val="o"/>
      <w:lvlJc w:val="left"/>
      <w:pPr>
        <w:tabs>
          <w:tab w:val="num" w:pos="5760"/>
        </w:tabs>
        <w:ind w:left="5760" w:hanging="360"/>
      </w:pPr>
      <w:rPr>
        <w:rFonts w:ascii="Courier New" w:hAnsi="Courier New" w:hint="default"/>
      </w:rPr>
    </w:lvl>
    <w:lvl w:ilvl="8" w:tplc="A0DECF4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DB5644F"/>
    <w:multiLevelType w:val="hybridMultilevel"/>
    <w:tmpl w:val="8BCC9C08"/>
    <w:lvl w:ilvl="0" w:tplc="CE4A91EE">
      <w:start w:val="1"/>
      <w:numFmt w:val="bullet"/>
      <w:pStyle w:val="BulletList3"/>
      <w:lvlText w:val=""/>
      <w:lvlJc w:val="left"/>
      <w:pPr>
        <w:tabs>
          <w:tab w:val="num" w:pos="1945"/>
        </w:tabs>
        <w:ind w:left="1945" w:hanging="357"/>
      </w:pPr>
      <w:rPr>
        <w:rFonts w:ascii="Symbol" w:hAnsi="Symbol" w:hint="default"/>
        <w:color w:val="000000"/>
      </w:rPr>
    </w:lvl>
    <w:lvl w:ilvl="1" w:tplc="F5B6DFD4" w:tentative="1">
      <w:start w:val="1"/>
      <w:numFmt w:val="bullet"/>
      <w:lvlText w:val="o"/>
      <w:lvlJc w:val="left"/>
      <w:pPr>
        <w:tabs>
          <w:tab w:val="num" w:pos="1440"/>
        </w:tabs>
        <w:ind w:left="1440" w:hanging="360"/>
      </w:pPr>
      <w:rPr>
        <w:rFonts w:ascii="Courier New" w:hAnsi="Courier New" w:cs="Courier New" w:hint="default"/>
      </w:rPr>
    </w:lvl>
    <w:lvl w:ilvl="2" w:tplc="566A8F52" w:tentative="1">
      <w:start w:val="1"/>
      <w:numFmt w:val="bullet"/>
      <w:lvlText w:val=""/>
      <w:lvlJc w:val="left"/>
      <w:pPr>
        <w:tabs>
          <w:tab w:val="num" w:pos="2160"/>
        </w:tabs>
        <w:ind w:left="2160" w:hanging="360"/>
      </w:pPr>
      <w:rPr>
        <w:rFonts w:ascii="Wingdings" w:hAnsi="Wingdings" w:hint="default"/>
      </w:rPr>
    </w:lvl>
    <w:lvl w:ilvl="3" w:tplc="A3DA8C3E" w:tentative="1">
      <w:start w:val="1"/>
      <w:numFmt w:val="bullet"/>
      <w:lvlText w:val=""/>
      <w:lvlJc w:val="left"/>
      <w:pPr>
        <w:tabs>
          <w:tab w:val="num" w:pos="2880"/>
        </w:tabs>
        <w:ind w:left="2880" w:hanging="360"/>
      </w:pPr>
      <w:rPr>
        <w:rFonts w:ascii="Symbol" w:hAnsi="Symbol" w:hint="default"/>
      </w:rPr>
    </w:lvl>
    <w:lvl w:ilvl="4" w:tplc="9B4A0BBC" w:tentative="1">
      <w:start w:val="1"/>
      <w:numFmt w:val="bullet"/>
      <w:lvlText w:val="o"/>
      <w:lvlJc w:val="left"/>
      <w:pPr>
        <w:tabs>
          <w:tab w:val="num" w:pos="3600"/>
        </w:tabs>
        <w:ind w:left="3600" w:hanging="360"/>
      </w:pPr>
      <w:rPr>
        <w:rFonts w:ascii="Courier New" w:hAnsi="Courier New" w:cs="Courier New" w:hint="default"/>
      </w:rPr>
    </w:lvl>
    <w:lvl w:ilvl="5" w:tplc="75C4645E" w:tentative="1">
      <w:start w:val="1"/>
      <w:numFmt w:val="bullet"/>
      <w:lvlText w:val=""/>
      <w:lvlJc w:val="left"/>
      <w:pPr>
        <w:tabs>
          <w:tab w:val="num" w:pos="4320"/>
        </w:tabs>
        <w:ind w:left="4320" w:hanging="360"/>
      </w:pPr>
      <w:rPr>
        <w:rFonts w:ascii="Wingdings" w:hAnsi="Wingdings" w:hint="default"/>
      </w:rPr>
    </w:lvl>
    <w:lvl w:ilvl="6" w:tplc="04E64472" w:tentative="1">
      <w:start w:val="1"/>
      <w:numFmt w:val="bullet"/>
      <w:lvlText w:val=""/>
      <w:lvlJc w:val="left"/>
      <w:pPr>
        <w:tabs>
          <w:tab w:val="num" w:pos="5040"/>
        </w:tabs>
        <w:ind w:left="5040" w:hanging="360"/>
      </w:pPr>
      <w:rPr>
        <w:rFonts w:ascii="Symbol" w:hAnsi="Symbol" w:hint="default"/>
      </w:rPr>
    </w:lvl>
    <w:lvl w:ilvl="7" w:tplc="35CC3238" w:tentative="1">
      <w:start w:val="1"/>
      <w:numFmt w:val="bullet"/>
      <w:lvlText w:val="o"/>
      <w:lvlJc w:val="left"/>
      <w:pPr>
        <w:tabs>
          <w:tab w:val="num" w:pos="5760"/>
        </w:tabs>
        <w:ind w:left="5760" w:hanging="360"/>
      </w:pPr>
      <w:rPr>
        <w:rFonts w:ascii="Courier New" w:hAnsi="Courier New" w:cs="Courier New" w:hint="default"/>
      </w:rPr>
    </w:lvl>
    <w:lvl w:ilvl="8" w:tplc="1FB81A26" w:tentative="1">
      <w:start w:val="1"/>
      <w:numFmt w:val="bullet"/>
      <w:lvlText w:val=""/>
      <w:lvlJc w:val="left"/>
      <w:pPr>
        <w:tabs>
          <w:tab w:val="num" w:pos="6480"/>
        </w:tabs>
        <w:ind w:left="6480" w:hanging="360"/>
      </w:pPr>
      <w:rPr>
        <w:rFonts w:ascii="Wingdings" w:hAnsi="Wingdings" w:hint="default"/>
      </w:rPr>
    </w:lvl>
  </w:abstractNum>
  <w:num w:numId="1" w16cid:durableId="1617365791">
    <w:abstractNumId w:val="20"/>
  </w:num>
  <w:num w:numId="2" w16cid:durableId="1291672258">
    <w:abstractNumId w:val="21"/>
  </w:num>
  <w:num w:numId="3" w16cid:durableId="1237548932">
    <w:abstractNumId w:val="7"/>
  </w:num>
  <w:num w:numId="4" w16cid:durableId="862019371">
    <w:abstractNumId w:val="24"/>
  </w:num>
  <w:num w:numId="5" w16cid:durableId="1222593991">
    <w:abstractNumId w:val="23"/>
  </w:num>
  <w:num w:numId="6" w16cid:durableId="1466121436">
    <w:abstractNumId w:val="3"/>
  </w:num>
  <w:num w:numId="7" w16cid:durableId="442309983">
    <w:abstractNumId w:val="10"/>
  </w:num>
  <w:num w:numId="8" w16cid:durableId="548149834">
    <w:abstractNumId w:val="9"/>
  </w:num>
  <w:num w:numId="9" w16cid:durableId="1508132755">
    <w:abstractNumId w:val="5"/>
  </w:num>
  <w:num w:numId="10" w16cid:durableId="782385945">
    <w:abstractNumId w:val="17"/>
  </w:num>
  <w:num w:numId="11" w16cid:durableId="594557489">
    <w:abstractNumId w:val="4"/>
  </w:num>
  <w:num w:numId="12" w16cid:durableId="1066143516">
    <w:abstractNumId w:val="16"/>
  </w:num>
  <w:num w:numId="13" w16cid:durableId="54746612">
    <w:abstractNumId w:val="18"/>
  </w:num>
  <w:num w:numId="14" w16cid:durableId="1933271189">
    <w:abstractNumId w:val="11"/>
  </w:num>
  <w:num w:numId="15" w16cid:durableId="525947769">
    <w:abstractNumId w:val="15"/>
  </w:num>
  <w:num w:numId="16" w16cid:durableId="1426269678">
    <w:abstractNumId w:val="13"/>
  </w:num>
  <w:num w:numId="17" w16cid:durableId="1847986191">
    <w:abstractNumId w:val="14"/>
  </w:num>
  <w:num w:numId="18" w16cid:durableId="1861355016">
    <w:abstractNumId w:val="12"/>
  </w:num>
  <w:num w:numId="19" w16cid:durableId="818959329">
    <w:abstractNumId w:val="6"/>
  </w:num>
  <w:num w:numId="20" w16cid:durableId="498472725">
    <w:abstractNumId w:val="19"/>
  </w:num>
  <w:num w:numId="21" w16cid:durableId="577324218">
    <w:abstractNumId w:val="1"/>
  </w:num>
  <w:num w:numId="22" w16cid:durableId="1879077680">
    <w:abstractNumId w:val="2"/>
  </w:num>
  <w:num w:numId="23" w16cid:durableId="721945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3119909">
    <w:abstractNumId w:val="22"/>
  </w:num>
  <w:num w:numId="25" w16cid:durableId="1254320207">
    <w:abstractNumId w:val="8"/>
  </w:num>
  <w:num w:numId="26" w16cid:durableId="1758095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5286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68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1710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9642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97581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12645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51341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487438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1741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484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9669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77188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67404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03325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3130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16052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Clause&lt;/Operative&gt;_x000d__x000a_  &lt;TemplateType&gt;null&lt;/TemplateType&gt;_x000d__x000a_  &lt;SignaturePageBreakType&gt;Yes without message&lt;/SignaturePageBreakType&gt;_x000d__x000a_&lt;/docParts&gt;"/>
    <w:docVar w:name="gentXMLPartID" w:val="{BBBB6473-5DEB-4AF9-AFBC-4254E81C2485}"/>
  </w:docVars>
  <w:rsids>
    <w:rsidRoot w:val="002333CF"/>
    <w:rsid w:val="000156BC"/>
    <w:rsid w:val="00032CEA"/>
    <w:rsid w:val="000546CE"/>
    <w:rsid w:val="00061278"/>
    <w:rsid w:val="000701A9"/>
    <w:rsid w:val="001255D8"/>
    <w:rsid w:val="00135524"/>
    <w:rsid w:val="00150613"/>
    <w:rsid w:val="0015627C"/>
    <w:rsid w:val="001902BD"/>
    <w:rsid w:val="001A0C10"/>
    <w:rsid w:val="001A542D"/>
    <w:rsid w:val="001F7451"/>
    <w:rsid w:val="00215AE6"/>
    <w:rsid w:val="002333CF"/>
    <w:rsid w:val="0028633A"/>
    <w:rsid w:val="00312173"/>
    <w:rsid w:val="003167E1"/>
    <w:rsid w:val="00324C09"/>
    <w:rsid w:val="00340BDA"/>
    <w:rsid w:val="00346652"/>
    <w:rsid w:val="00365DA5"/>
    <w:rsid w:val="0037029F"/>
    <w:rsid w:val="00375FBE"/>
    <w:rsid w:val="00385105"/>
    <w:rsid w:val="003B798D"/>
    <w:rsid w:val="00403536"/>
    <w:rsid w:val="00434567"/>
    <w:rsid w:val="004427ED"/>
    <w:rsid w:val="00455071"/>
    <w:rsid w:val="004576A6"/>
    <w:rsid w:val="004753C5"/>
    <w:rsid w:val="0049710B"/>
    <w:rsid w:val="004D04D0"/>
    <w:rsid w:val="00501386"/>
    <w:rsid w:val="005048A2"/>
    <w:rsid w:val="00524716"/>
    <w:rsid w:val="005300A8"/>
    <w:rsid w:val="005C4C1B"/>
    <w:rsid w:val="005D7B1E"/>
    <w:rsid w:val="005F0E87"/>
    <w:rsid w:val="005F3841"/>
    <w:rsid w:val="005F5DDC"/>
    <w:rsid w:val="00616DE3"/>
    <w:rsid w:val="0062243A"/>
    <w:rsid w:val="00660A51"/>
    <w:rsid w:val="00666651"/>
    <w:rsid w:val="00675CA1"/>
    <w:rsid w:val="006C0DE8"/>
    <w:rsid w:val="006C174F"/>
    <w:rsid w:val="006D38EE"/>
    <w:rsid w:val="006D3920"/>
    <w:rsid w:val="006F388F"/>
    <w:rsid w:val="00701B29"/>
    <w:rsid w:val="00710176"/>
    <w:rsid w:val="00733A07"/>
    <w:rsid w:val="00774F20"/>
    <w:rsid w:val="00776F8B"/>
    <w:rsid w:val="00785F4C"/>
    <w:rsid w:val="007B3873"/>
    <w:rsid w:val="007B792F"/>
    <w:rsid w:val="007C5CD7"/>
    <w:rsid w:val="007C7E65"/>
    <w:rsid w:val="007F32BF"/>
    <w:rsid w:val="0082270B"/>
    <w:rsid w:val="00835E46"/>
    <w:rsid w:val="00851B22"/>
    <w:rsid w:val="00884572"/>
    <w:rsid w:val="00897D8B"/>
    <w:rsid w:val="008A621D"/>
    <w:rsid w:val="008D347F"/>
    <w:rsid w:val="008F1DE9"/>
    <w:rsid w:val="008F3845"/>
    <w:rsid w:val="0091780E"/>
    <w:rsid w:val="00920706"/>
    <w:rsid w:val="00954EEA"/>
    <w:rsid w:val="009665B4"/>
    <w:rsid w:val="009A49D5"/>
    <w:rsid w:val="009C4200"/>
    <w:rsid w:val="009D15DA"/>
    <w:rsid w:val="009D33F7"/>
    <w:rsid w:val="009D7C35"/>
    <w:rsid w:val="009E25C9"/>
    <w:rsid w:val="009F15E8"/>
    <w:rsid w:val="009F41E3"/>
    <w:rsid w:val="00A216C7"/>
    <w:rsid w:val="00A319BE"/>
    <w:rsid w:val="00A5382C"/>
    <w:rsid w:val="00A55BB4"/>
    <w:rsid w:val="00A64196"/>
    <w:rsid w:val="00A7144E"/>
    <w:rsid w:val="00AA2EC1"/>
    <w:rsid w:val="00AB6AFC"/>
    <w:rsid w:val="00AC5F5E"/>
    <w:rsid w:val="00AE5703"/>
    <w:rsid w:val="00AE7F49"/>
    <w:rsid w:val="00AF3F6D"/>
    <w:rsid w:val="00B11CE5"/>
    <w:rsid w:val="00B2240A"/>
    <w:rsid w:val="00B3647A"/>
    <w:rsid w:val="00B3656C"/>
    <w:rsid w:val="00B53091"/>
    <w:rsid w:val="00B66465"/>
    <w:rsid w:val="00B731EE"/>
    <w:rsid w:val="00B855B1"/>
    <w:rsid w:val="00B94998"/>
    <w:rsid w:val="00B96230"/>
    <w:rsid w:val="00B96E81"/>
    <w:rsid w:val="00BC2BC1"/>
    <w:rsid w:val="00BD4AA6"/>
    <w:rsid w:val="00BE1FCC"/>
    <w:rsid w:val="00C01ED1"/>
    <w:rsid w:val="00C35D6B"/>
    <w:rsid w:val="00C46B1E"/>
    <w:rsid w:val="00C654B4"/>
    <w:rsid w:val="00C7287C"/>
    <w:rsid w:val="00C72D8F"/>
    <w:rsid w:val="00C74E68"/>
    <w:rsid w:val="00C77675"/>
    <w:rsid w:val="00CF13D7"/>
    <w:rsid w:val="00CF3A63"/>
    <w:rsid w:val="00D00A9F"/>
    <w:rsid w:val="00D30BC6"/>
    <w:rsid w:val="00D41D2B"/>
    <w:rsid w:val="00D427C0"/>
    <w:rsid w:val="00D46DDB"/>
    <w:rsid w:val="00D52A99"/>
    <w:rsid w:val="00D53607"/>
    <w:rsid w:val="00D95A4B"/>
    <w:rsid w:val="00DA05CF"/>
    <w:rsid w:val="00DA2986"/>
    <w:rsid w:val="00DD02E4"/>
    <w:rsid w:val="00DF1FD3"/>
    <w:rsid w:val="00E01783"/>
    <w:rsid w:val="00E03875"/>
    <w:rsid w:val="00E14930"/>
    <w:rsid w:val="00E22208"/>
    <w:rsid w:val="00E26DAA"/>
    <w:rsid w:val="00E302B1"/>
    <w:rsid w:val="00E36363"/>
    <w:rsid w:val="00E478CB"/>
    <w:rsid w:val="00E50A4D"/>
    <w:rsid w:val="00E65723"/>
    <w:rsid w:val="00E70376"/>
    <w:rsid w:val="00E94088"/>
    <w:rsid w:val="00EB0A96"/>
    <w:rsid w:val="00EE5098"/>
    <w:rsid w:val="00F05FAA"/>
    <w:rsid w:val="00F44266"/>
    <w:rsid w:val="00F53540"/>
    <w:rsid w:val="00F61F48"/>
    <w:rsid w:val="00F63EB8"/>
    <w:rsid w:val="00F808A3"/>
    <w:rsid w:val="00F846B8"/>
    <w:rsid w:val="00FA217E"/>
    <w:rsid w:val="00FA3D50"/>
    <w:rsid w:val="00FA636A"/>
    <w:rsid w:val="00FB1B7F"/>
    <w:rsid w:val="00FC58F7"/>
    <w:rsid w:val="00FF5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B8B1"/>
  <w15:docId w15:val="{0402909A-D496-411D-8F42-7E200CAE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4088"/>
    <w:pPr>
      <w:spacing w:after="160" w:line="259" w:lineRule="auto"/>
    </w:pPr>
    <w:rPr>
      <w:rFonts w:eastAsiaTheme="minorHAnsi"/>
      <w:kern w:val="2"/>
      <w:lang w:eastAsia="en-US"/>
      <w14:ligatures w14:val="standardContextual"/>
    </w:rPr>
  </w:style>
  <w:style w:type="paragraph" w:styleId="Heading1">
    <w:name w:val="heading 1"/>
    <w:aliases w:val="LFR Head 1"/>
    <w:basedOn w:val="Normal"/>
    <w:next w:val="Normal"/>
    <w:link w:val="Heading1Char"/>
    <w:uiPriority w:val="9"/>
    <w:qFormat/>
    <w:rsid w:val="00200E39"/>
    <w:pPr>
      <w:keepNext/>
      <w:keepLines/>
      <w:numPr>
        <w:numId w:val="10"/>
      </w:numPr>
      <w:spacing w:before="480" w:after="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unhideWhenUsed/>
    <w:qFormat/>
    <w:rsid w:val="00200E39"/>
    <w:pPr>
      <w:keepNext/>
      <w:keepLines/>
      <w:numPr>
        <w:ilvl w:val="1"/>
        <w:numId w:val="10"/>
      </w:numPr>
      <w:spacing w:before="200" w:after="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unhideWhenUsed/>
    <w:qFormat/>
    <w:rsid w:val="00200E39"/>
    <w:pPr>
      <w:keepNext/>
      <w:keepLines/>
      <w:numPr>
        <w:ilvl w:val="2"/>
        <w:numId w:val="10"/>
      </w:numPr>
      <w:spacing w:before="200" w:after="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200E39"/>
    <w:pPr>
      <w:keepNext/>
      <w:keepLines/>
      <w:numPr>
        <w:ilvl w:val="3"/>
        <w:numId w:val="10"/>
      </w:numPr>
      <w:spacing w:before="200" w:after="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200E39"/>
    <w:pPr>
      <w:keepNext/>
      <w:keepLines/>
      <w:numPr>
        <w:ilvl w:val="4"/>
        <w:numId w:val="10"/>
      </w:numPr>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200E39"/>
    <w:pPr>
      <w:keepNext/>
      <w:keepLines/>
      <w:numPr>
        <w:ilvl w:val="5"/>
        <w:numId w:val="10"/>
      </w:numPr>
      <w:spacing w:before="200" w:after="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200E39"/>
    <w:pPr>
      <w:keepNext/>
      <w:keepLines/>
      <w:numPr>
        <w:ilvl w:val="6"/>
        <w:numId w:val="10"/>
      </w:numPr>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200E39"/>
    <w:pPr>
      <w:keepNext/>
      <w:keepLines/>
      <w:numPr>
        <w:ilvl w:val="7"/>
        <w:numId w:val="10"/>
      </w:numPr>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200E39"/>
    <w:pPr>
      <w:keepNext/>
      <w:keepLines/>
      <w:numPr>
        <w:ilvl w:val="8"/>
        <w:numId w:val="10"/>
      </w:numPr>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E940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4088"/>
  </w:style>
  <w:style w:type="paragraph" w:customStyle="1" w:styleId="Abstract">
    <w:name w:val="Abstract"/>
    <w:link w:val="AbstractChar"/>
    <w:rsid w:val="00200E39"/>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200E39"/>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200E39"/>
    <w:pPr>
      <w:numPr>
        <w:numId w:val="11"/>
      </w:numPr>
      <w:spacing w:before="240" w:after="240"/>
      <w:ind w:left="0" w:firstLine="0"/>
    </w:pPr>
    <w:rPr>
      <w:b/>
    </w:rPr>
  </w:style>
  <w:style w:type="paragraph" w:customStyle="1" w:styleId="AuthoringGroup">
    <w:name w:val="Authoring Group"/>
    <w:link w:val="AuthoringGroupChar"/>
    <w:rsid w:val="00200E39"/>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200E39"/>
    <w:rPr>
      <w:rFonts w:ascii="Arial" w:eastAsia="Arial Unicode MS" w:hAnsi="Arial" w:cs="Arial"/>
      <w:color w:val="000000"/>
      <w:sz w:val="24"/>
      <w:lang w:val="en-US" w:eastAsia="en-US"/>
    </w:rPr>
  </w:style>
  <w:style w:type="paragraph" w:customStyle="1" w:styleId="Background">
    <w:name w:val="Background"/>
    <w:aliases w:val="(A) Background"/>
    <w:basedOn w:val="Normal"/>
    <w:rsid w:val="00200E39"/>
    <w:pPr>
      <w:numPr>
        <w:numId w:val="1"/>
      </w:numPr>
      <w:spacing w:before="120" w:after="120" w:line="300" w:lineRule="atLeast"/>
      <w:jc w:val="both"/>
    </w:pPr>
    <w:rPr>
      <w:rFonts w:ascii="Arial" w:eastAsia="Arial Unicode MS" w:hAnsi="Arial" w:cs="Arial"/>
      <w:color w:val="000000"/>
      <w:szCs w:val="20"/>
    </w:rPr>
  </w:style>
  <w:style w:type="paragraph" w:customStyle="1" w:styleId="BulletList1">
    <w:name w:val="Bullet List 1"/>
    <w:aliases w:val="Bullet1"/>
    <w:basedOn w:val="Normal"/>
    <w:rsid w:val="00200E39"/>
    <w:pPr>
      <w:numPr>
        <w:numId w:val="2"/>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200E39"/>
    <w:pPr>
      <w:numPr>
        <w:numId w:val="3"/>
      </w:numPr>
      <w:spacing w:after="120" w:line="240" w:lineRule="auto"/>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200E39"/>
    <w:pPr>
      <w:numPr>
        <w:numId w:val="4"/>
      </w:numPr>
      <w:spacing w:after="240" w:line="240" w:lineRule="auto"/>
      <w:jc w:val="both"/>
    </w:pPr>
    <w:rPr>
      <w:rFonts w:ascii="Arial" w:eastAsia="Arial Unicode MS" w:hAnsi="Arial" w:cs="Arial"/>
      <w:color w:val="000000"/>
      <w:szCs w:val="20"/>
    </w:rPr>
  </w:style>
  <w:style w:type="paragraph" w:customStyle="1" w:styleId="TitleClause">
    <w:name w:val="Title Clause"/>
    <w:basedOn w:val="Normal"/>
    <w:rsid w:val="00200E39"/>
    <w:pPr>
      <w:keepNext/>
      <w:numPr>
        <w:numId w:val="23"/>
      </w:numPr>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200E39"/>
    <w:rPr>
      <w:b w:val="0"/>
      <w:smallCaps/>
    </w:rPr>
  </w:style>
  <w:style w:type="paragraph" w:customStyle="1" w:styleId="ClosingPara">
    <w:name w:val="Closing Para"/>
    <w:basedOn w:val="Normal"/>
    <w:rsid w:val="00200E39"/>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200E39"/>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200E39"/>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200E39"/>
  </w:style>
  <w:style w:type="paragraph" w:customStyle="1" w:styleId="CoverSheetSubjectText">
    <w:name w:val="Cover Sheet Subject Text"/>
    <w:basedOn w:val="Normal"/>
    <w:rsid w:val="00200E39"/>
    <w:pPr>
      <w:spacing w:after="0"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200E39"/>
    <w:pPr>
      <w:spacing w:after="0"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200E39"/>
    <w:pPr>
      <w:numPr>
        <w:numId w:val="24"/>
      </w:numPr>
    </w:pPr>
  </w:style>
  <w:style w:type="paragraph" w:customStyle="1" w:styleId="DescriptiveHeading">
    <w:name w:val="DescriptiveHeading"/>
    <w:next w:val="Paragraph"/>
    <w:link w:val="DescriptiveHeadingChar"/>
    <w:rsid w:val="00200E39"/>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200E39"/>
    <w:rPr>
      <w:rFonts w:ascii="Arial" w:eastAsia="Arial Unicode MS" w:hAnsi="Arial" w:cs="Arial"/>
      <w:b/>
      <w:color w:val="000000"/>
      <w:lang w:val="en-US" w:eastAsia="en-US"/>
    </w:rPr>
  </w:style>
  <w:style w:type="paragraph" w:customStyle="1" w:styleId="DraftingnoteSection1Para">
    <w:name w:val="Draftingnote Section1 Para"/>
    <w:basedOn w:val="Normal"/>
    <w:rsid w:val="00200E39"/>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200E39"/>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200E39"/>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200E39"/>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200E39"/>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200E39"/>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200E39"/>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200E39"/>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200E39"/>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200E39"/>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200E39"/>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200E39"/>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200E39"/>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200E39"/>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200E39"/>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200E39"/>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200E39"/>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200E39"/>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200E39"/>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200E39"/>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200E39"/>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200E39"/>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200E39"/>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200E39"/>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200E39"/>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200E39"/>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200E39"/>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200E39"/>
    <w:rPr>
      <w:rFonts w:ascii="Arial" w:eastAsia="Arial Unicode MS" w:hAnsi="Arial" w:cs="Arial"/>
      <w:color w:val="000000"/>
      <w:sz w:val="24"/>
      <w:lang w:val="en-US" w:eastAsia="en-US"/>
    </w:rPr>
  </w:style>
  <w:style w:type="paragraph" w:customStyle="1" w:styleId="MaintenanceEditor">
    <w:name w:val="Maintenance Editor"/>
    <w:link w:val="MaintenanceEditorChar"/>
    <w:rsid w:val="00200E39"/>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200E39"/>
    <w:rPr>
      <w:rFonts w:ascii="Arial" w:eastAsia="Arial Unicode MS" w:hAnsi="Arial" w:cs="Arial"/>
      <w:color w:val="000000"/>
      <w:sz w:val="24"/>
      <w:lang w:val="en-US" w:eastAsia="en-US"/>
    </w:rPr>
  </w:style>
  <w:style w:type="paragraph" w:customStyle="1" w:styleId="ParaClause">
    <w:name w:val="Para Clause"/>
    <w:basedOn w:val="Normal"/>
    <w:rsid w:val="00200E39"/>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200E39"/>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200E39"/>
    <w:pPr>
      <w:numPr>
        <w:ilvl w:val="1"/>
        <w:numId w:val="23"/>
      </w:numPr>
      <w:spacing w:before="280" w:after="120" w:line="300" w:lineRule="atLeast"/>
      <w:jc w:val="both"/>
      <w:outlineLvl w:val="1"/>
    </w:pPr>
    <w:rPr>
      <w:rFonts w:ascii="Arial" w:eastAsia="Arial Unicode MS" w:hAnsi="Arial" w:cs="Arial"/>
      <w:color w:val="000000"/>
      <w:szCs w:val="20"/>
    </w:rPr>
  </w:style>
  <w:style w:type="paragraph" w:customStyle="1" w:styleId="Parasubclause2">
    <w:name w:val="Para subclause 2"/>
    <w:aliases w:val="BIWS Heading 3"/>
    <w:basedOn w:val="Normal"/>
    <w:rsid w:val="00200E39"/>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rsid w:val="00200E39"/>
    <w:pPr>
      <w:numPr>
        <w:ilvl w:val="2"/>
        <w:numId w:val="23"/>
      </w:numPr>
      <w:spacing w:after="120" w:line="300" w:lineRule="atLeast"/>
      <w:jc w:val="both"/>
      <w:outlineLvl w:val="2"/>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200E39"/>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rsid w:val="00200E39"/>
    <w:pPr>
      <w:numPr>
        <w:ilvl w:val="3"/>
        <w:numId w:val="23"/>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200E39"/>
    <w:pPr>
      <w:spacing w:after="240"/>
      <w:ind w:left="3028"/>
    </w:pPr>
  </w:style>
  <w:style w:type="paragraph" w:customStyle="1" w:styleId="Untitledsubclause4">
    <w:name w:val="Untitled subclause 4"/>
    <w:basedOn w:val="Normal"/>
    <w:rsid w:val="00200E39"/>
    <w:pPr>
      <w:numPr>
        <w:ilvl w:val="4"/>
        <w:numId w:val="23"/>
      </w:num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200E39"/>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200E39"/>
    <w:pPr>
      <w:numPr>
        <w:numId w:val="5"/>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200E39"/>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200E39"/>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200E39"/>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200E39"/>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200E39"/>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200E39"/>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200E39"/>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200E39"/>
    <w:rPr>
      <w:rFonts w:ascii="Arial" w:eastAsia="Arial Unicode MS" w:hAnsi="Arial" w:cs="Arial"/>
      <w:b/>
      <w:bCs/>
      <w:color w:val="000000"/>
      <w:sz w:val="24"/>
      <w:lang w:val="en-US" w:eastAsia="en-US"/>
    </w:rPr>
  </w:style>
  <w:style w:type="paragraph" w:customStyle="1" w:styleId="ResourceType">
    <w:name w:val="Resource Type"/>
    <w:link w:val="ResourceTypeChar"/>
    <w:rsid w:val="00200E39"/>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200E39"/>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200E39"/>
    <w:pPr>
      <w:numPr>
        <w:numId w:val="6"/>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200E39"/>
    <w:pPr>
      <w:keepNext/>
      <w:pageBreakBefore/>
      <w:numPr>
        <w:numId w:val="7"/>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200E39"/>
    <w:pPr>
      <w:tabs>
        <w:tab w:val="left" w:pos="709"/>
      </w:tabs>
      <w:spacing w:before="120" w:after="120" w:line="300" w:lineRule="atLeast"/>
      <w:jc w:val="both"/>
    </w:pPr>
    <w:rPr>
      <w:rFonts w:ascii="Arial" w:eastAsia="Arial Unicode MS" w:hAnsi="Arial" w:cs="Arial"/>
      <w:b/>
      <w:smallCaps/>
      <w:color w:val="000000"/>
      <w:szCs w:val="20"/>
    </w:rPr>
  </w:style>
  <w:style w:type="paragraph" w:customStyle="1" w:styleId="Shortquestion">
    <w:name w:val="Shortquestion"/>
    <w:basedOn w:val="Normal"/>
    <w:rsid w:val="00200E39"/>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200E39"/>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200E39"/>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200E39"/>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200E39"/>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200E39"/>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200E39"/>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200E39"/>
    <w:rPr>
      <w:rFonts w:ascii="Arial" w:eastAsia="Arial Unicode MS" w:hAnsi="Arial" w:cs="Arial"/>
      <w:color w:val="000000"/>
      <w:sz w:val="24"/>
      <w:szCs w:val="24"/>
      <w:lang w:val="en-US" w:eastAsia="en-US"/>
    </w:rPr>
  </w:style>
  <w:style w:type="paragraph" w:styleId="Title">
    <w:name w:val="Title"/>
    <w:link w:val="TitleChar"/>
    <w:rsid w:val="00200E39"/>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200E39"/>
    <w:rPr>
      <w:rFonts w:ascii="Arial" w:eastAsia="Arial Unicode MS" w:hAnsi="Arial" w:cs="Arial"/>
      <w:color w:val="000000"/>
      <w:sz w:val="24"/>
      <w:lang w:val="en-US" w:eastAsia="en-US"/>
    </w:rPr>
  </w:style>
  <w:style w:type="paragraph" w:styleId="Footer">
    <w:name w:val="footer"/>
    <w:basedOn w:val="Normal"/>
    <w:link w:val="FooterChar"/>
    <w:rsid w:val="00200E39"/>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rsid w:val="00200E39"/>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200E39"/>
    <w:rPr>
      <w:i/>
      <w:color w:val="000000"/>
      <w:u w:val="single"/>
    </w:rPr>
  </w:style>
  <w:style w:type="paragraph" w:customStyle="1" w:styleId="Bullet4">
    <w:name w:val="Bullet4"/>
    <w:basedOn w:val="Normal"/>
    <w:rsid w:val="00200E39"/>
    <w:pPr>
      <w:numPr>
        <w:numId w:val="8"/>
      </w:numPr>
      <w:spacing w:after="240" w:line="240" w:lineRule="auto"/>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200E39"/>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200E39"/>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200E39"/>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200E39"/>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200E39"/>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200E39"/>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200E39"/>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uiPriority w:val="99"/>
    <w:unhideWhenUsed/>
    <w:rsid w:val="00200E39"/>
    <w:pPr>
      <w:tabs>
        <w:tab w:val="center" w:pos="4513"/>
        <w:tab w:val="right" w:pos="9026"/>
      </w:tabs>
      <w:spacing w:after="0" w:line="240" w:lineRule="auto"/>
    </w:pPr>
    <w:rPr>
      <w:color w:val="000000"/>
    </w:rPr>
  </w:style>
  <w:style w:type="character" w:customStyle="1" w:styleId="HeaderChar">
    <w:name w:val="Header Char"/>
    <w:basedOn w:val="DefaultParagraphFont"/>
    <w:link w:val="Header"/>
    <w:uiPriority w:val="99"/>
    <w:rsid w:val="00200E39"/>
    <w:rPr>
      <w:color w:val="000000"/>
    </w:rPr>
  </w:style>
  <w:style w:type="character" w:styleId="PlaceholderText">
    <w:name w:val="Placeholder Text"/>
    <w:basedOn w:val="DefaultParagraphFont"/>
    <w:uiPriority w:val="99"/>
    <w:rsid w:val="00200E39"/>
    <w:rPr>
      <w:color w:val="000000"/>
    </w:rPr>
  </w:style>
  <w:style w:type="paragraph" w:styleId="BalloonText">
    <w:name w:val="Balloon Text"/>
    <w:basedOn w:val="Normal"/>
    <w:link w:val="BalloonTextChar"/>
    <w:uiPriority w:val="99"/>
    <w:semiHidden/>
    <w:unhideWhenUsed/>
    <w:rsid w:val="00200E39"/>
    <w:pPr>
      <w:spacing w:after="0" w:line="240" w:lineRule="auto"/>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200E39"/>
    <w:rPr>
      <w:rFonts w:ascii="Tahoma" w:hAnsi="Tahoma" w:cs="Tahoma"/>
      <w:color w:val="000000"/>
      <w:sz w:val="16"/>
      <w:szCs w:val="16"/>
    </w:rPr>
  </w:style>
  <w:style w:type="paragraph" w:customStyle="1" w:styleId="PinPointRef">
    <w:name w:val="PinPoint Ref"/>
    <w:link w:val="PinPointRefChar"/>
    <w:qFormat/>
    <w:rsid w:val="00200E39"/>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200E39"/>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200E39"/>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200E39"/>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200E39"/>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200E39"/>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200E39"/>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200E39"/>
    <w:rPr>
      <w:rFonts w:ascii="Arial" w:eastAsia="Arial Unicode MS" w:hAnsi="Arial" w:cs="Arial"/>
      <w:color w:val="000000"/>
      <w:szCs w:val="24"/>
      <w:lang w:val="en-US" w:eastAsia="en-US"/>
    </w:rPr>
  </w:style>
  <w:style w:type="paragraph" w:customStyle="1" w:styleId="IntroDefault">
    <w:name w:val="Intro Default"/>
    <w:basedOn w:val="Paragraph"/>
    <w:qFormat/>
    <w:rsid w:val="00200E39"/>
  </w:style>
  <w:style w:type="paragraph" w:customStyle="1" w:styleId="IntroCustom">
    <w:name w:val="Intro Custom"/>
    <w:basedOn w:val="Paragraph"/>
    <w:qFormat/>
    <w:rsid w:val="00200E39"/>
  </w:style>
  <w:style w:type="paragraph" w:customStyle="1" w:styleId="PrecedentType">
    <w:name w:val="Precedent Type"/>
    <w:basedOn w:val="IgnoredSpacing"/>
    <w:qFormat/>
    <w:rsid w:val="00200E39"/>
  </w:style>
  <w:style w:type="paragraph" w:customStyle="1" w:styleId="Operative">
    <w:name w:val="Operative"/>
    <w:basedOn w:val="IgnoredSpacing"/>
    <w:qFormat/>
    <w:rsid w:val="00200E39"/>
    <w:rPr>
      <w:vanish/>
    </w:rPr>
  </w:style>
  <w:style w:type="paragraph" w:customStyle="1" w:styleId="SpeedreadBulletList1">
    <w:name w:val="Speedread Bullet List 1"/>
    <w:basedOn w:val="BulletList1"/>
    <w:qFormat/>
    <w:rsid w:val="00200E39"/>
  </w:style>
  <w:style w:type="paragraph" w:customStyle="1" w:styleId="PartiesTitle">
    <w:name w:val="Parties Title"/>
    <w:basedOn w:val="Paragraph"/>
    <w:qFormat/>
    <w:rsid w:val="00200E39"/>
    <w:rPr>
      <w:b/>
    </w:rPr>
  </w:style>
  <w:style w:type="table" w:styleId="TableGrid">
    <w:name w:val="Table Grid"/>
    <w:basedOn w:val="TableNormal"/>
    <w:uiPriority w:val="39"/>
    <w:rsid w:val="00200E39"/>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200E39"/>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200E39"/>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200E39"/>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200E39"/>
    <w:pPr>
      <w:shd w:val="clear" w:color="auto" w:fill="D9D9D9" w:themeFill="background1" w:themeFillShade="D9"/>
      <w:ind w:left="1077"/>
    </w:pPr>
  </w:style>
  <w:style w:type="paragraph" w:customStyle="1" w:styleId="TestimoniumContract">
    <w:name w:val="Testimonium Contract"/>
    <w:basedOn w:val="Paragraph"/>
    <w:qFormat/>
    <w:rsid w:val="00200E39"/>
  </w:style>
  <w:style w:type="paragraph" w:customStyle="1" w:styleId="TestimoniumDeed">
    <w:name w:val="Testimonium Deed"/>
    <w:basedOn w:val="Paragraph"/>
    <w:qFormat/>
    <w:rsid w:val="00200E39"/>
  </w:style>
  <w:style w:type="paragraph" w:customStyle="1" w:styleId="Titlesubclause2">
    <w:name w:val="Title subclause2"/>
    <w:basedOn w:val="Untitledsubclause2"/>
    <w:qFormat/>
    <w:rsid w:val="00200E39"/>
    <w:rPr>
      <w:b/>
    </w:rPr>
  </w:style>
  <w:style w:type="paragraph" w:customStyle="1" w:styleId="Titlesubclause3">
    <w:name w:val="Title subclause3"/>
    <w:basedOn w:val="Untitledsubclause3"/>
    <w:qFormat/>
    <w:rsid w:val="00200E39"/>
    <w:rPr>
      <w:b/>
    </w:rPr>
  </w:style>
  <w:style w:type="paragraph" w:customStyle="1" w:styleId="Titlesubclause4">
    <w:name w:val="Title subclause4"/>
    <w:basedOn w:val="Untitledsubclause4"/>
    <w:qFormat/>
    <w:rsid w:val="00200E39"/>
    <w:rPr>
      <w:b/>
    </w:rPr>
  </w:style>
  <w:style w:type="paragraph" w:customStyle="1" w:styleId="UntitledClause">
    <w:name w:val="Untitled Clause"/>
    <w:basedOn w:val="TitleClause"/>
    <w:qFormat/>
    <w:rsid w:val="00200E39"/>
    <w:pPr>
      <w:spacing w:before="120"/>
    </w:pPr>
    <w:rPr>
      <w:b w:val="0"/>
    </w:rPr>
  </w:style>
  <w:style w:type="paragraph" w:customStyle="1" w:styleId="Titlesubclause1">
    <w:name w:val="Title subclause1"/>
    <w:basedOn w:val="Untitledsubclause1"/>
    <w:qFormat/>
    <w:rsid w:val="00200E39"/>
    <w:pPr>
      <w:spacing w:before="120"/>
    </w:pPr>
    <w:rPr>
      <w:b/>
    </w:rPr>
  </w:style>
  <w:style w:type="paragraph" w:customStyle="1" w:styleId="Schedule">
    <w:name w:val="Schedule"/>
    <w:qFormat/>
    <w:rsid w:val="00200E39"/>
    <w:pPr>
      <w:numPr>
        <w:numId w:val="22"/>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aliases w:val="LFR Head 1 Char"/>
    <w:basedOn w:val="DefaultParagraphFont"/>
    <w:link w:val="Heading1"/>
    <w:uiPriority w:val="9"/>
    <w:rsid w:val="00200E39"/>
    <w:rPr>
      <w:rFonts w:asciiTheme="majorHAnsi" w:eastAsiaTheme="majorEastAsia" w:hAnsiTheme="majorHAnsi" w:cstheme="majorBidi"/>
      <w:b/>
      <w:bCs/>
      <w:color w:val="000000"/>
      <w:kern w:val="2"/>
      <w:sz w:val="28"/>
      <w:szCs w:val="28"/>
      <w:lang w:eastAsia="en-US"/>
      <w14:ligatures w14:val="standardContextual"/>
    </w:rPr>
  </w:style>
  <w:style w:type="character" w:customStyle="1" w:styleId="Heading2Char">
    <w:name w:val="Heading 2 Char"/>
    <w:basedOn w:val="DefaultParagraphFont"/>
    <w:link w:val="Heading2"/>
    <w:uiPriority w:val="9"/>
    <w:rsid w:val="00200E39"/>
    <w:rPr>
      <w:rFonts w:asciiTheme="majorHAnsi" w:eastAsiaTheme="majorEastAsia" w:hAnsiTheme="majorHAnsi" w:cstheme="majorBidi"/>
      <w:b/>
      <w:bCs/>
      <w:color w:val="000000"/>
      <w:kern w:val="2"/>
      <w:sz w:val="26"/>
      <w:szCs w:val="26"/>
      <w:lang w:eastAsia="en-US"/>
      <w14:ligatures w14:val="standardContextual"/>
    </w:rPr>
  </w:style>
  <w:style w:type="character" w:customStyle="1" w:styleId="Heading3Char">
    <w:name w:val="Heading 3 Char"/>
    <w:basedOn w:val="DefaultParagraphFont"/>
    <w:link w:val="Heading3"/>
    <w:uiPriority w:val="9"/>
    <w:semiHidden/>
    <w:rsid w:val="00200E39"/>
    <w:rPr>
      <w:rFonts w:asciiTheme="majorHAnsi" w:eastAsiaTheme="majorEastAsia" w:hAnsiTheme="majorHAnsi" w:cstheme="majorBidi"/>
      <w:b/>
      <w:bCs/>
      <w:color w:val="000000"/>
      <w:kern w:val="2"/>
      <w:sz w:val="24"/>
      <w:szCs w:val="24"/>
      <w:lang w:eastAsia="en-US"/>
      <w14:ligatures w14:val="standardContextual"/>
    </w:rPr>
  </w:style>
  <w:style w:type="character" w:customStyle="1" w:styleId="Heading4Char">
    <w:name w:val="Heading 4 Char"/>
    <w:basedOn w:val="DefaultParagraphFont"/>
    <w:link w:val="Heading4"/>
    <w:uiPriority w:val="9"/>
    <w:semiHidden/>
    <w:rsid w:val="00200E39"/>
    <w:rPr>
      <w:rFonts w:asciiTheme="majorHAnsi" w:eastAsiaTheme="majorEastAsia" w:hAnsiTheme="majorHAnsi" w:cstheme="majorBidi"/>
      <w:b/>
      <w:bCs/>
      <w:i/>
      <w:iCs/>
      <w:color w:val="000000"/>
      <w:kern w:val="2"/>
      <w:sz w:val="24"/>
      <w:szCs w:val="24"/>
      <w:lang w:eastAsia="en-US"/>
      <w14:ligatures w14:val="standardContextual"/>
    </w:rPr>
  </w:style>
  <w:style w:type="character" w:customStyle="1" w:styleId="Heading5Char">
    <w:name w:val="Heading 5 Char"/>
    <w:basedOn w:val="DefaultParagraphFont"/>
    <w:link w:val="Heading5"/>
    <w:uiPriority w:val="9"/>
    <w:semiHidden/>
    <w:rsid w:val="00200E39"/>
    <w:rPr>
      <w:rFonts w:asciiTheme="majorHAnsi" w:eastAsiaTheme="majorEastAsia" w:hAnsiTheme="majorHAnsi" w:cstheme="majorBidi"/>
      <w:color w:val="000000"/>
      <w:kern w:val="2"/>
      <w:sz w:val="24"/>
      <w:szCs w:val="24"/>
      <w:lang w:eastAsia="en-US"/>
      <w14:ligatures w14:val="standardContextual"/>
    </w:rPr>
  </w:style>
  <w:style w:type="character" w:customStyle="1" w:styleId="Heading6Char">
    <w:name w:val="Heading 6 Char"/>
    <w:basedOn w:val="DefaultParagraphFont"/>
    <w:link w:val="Heading6"/>
    <w:uiPriority w:val="9"/>
    <w:semiHidden/>
    <w:rsid w:val="00200E39"/>
    <w:rPr>
      <w:rFonts w:asciiTheme="majorHAnsi" w:eastAsiaTheme="majorEastAsia" w:hAnsiTheme="majorHAnsi" w:cstheme="majorBidi"/>
      <w:i/>
      <w:iCs/>
      <w:color w:val="000000"/>
      <w:kern w:val="2"/>
      <w:sz w:val="24"/>
      <w:szCs w:val="24"/>
      <w:lang w:eastAsia="en-US"/>
      <w14:ligatures w14:val="standardContextual"/>
    </w:rPr>
  </w:style>
  <w:style w:type="character" w:customStyle="1" w:styleId="Heading7Char">
    <w:name w:val="Heading 7 Char"/>
    <w:basedOn w:val="DefaultParagraphFont"/>
    <w:link w:val="Heading7"/>
    <w:uiPriority w:val="9"/>
    <w:semiHidden/>
    <w:rsid w:val="00200E39"/>
    <w:rPr>
      <w:rFonts w:asciiTheme="majorHAnsi" w:eastAsiaTheme="majorEastAsia" w:hAnsiTheme="majorHAnsi" w:cstheme="majorBidi"/>
      <w:i/>
      <w:iCs/>
      <w:color w:val="000000"/>
      <w:kern w:val="2"/>
      <w:sz w:val="24"/>
      <w:szCs w:val="24"/>
      <w:lang w:eastAsia="en-US"/>
      <w14:ligatures w14:val="standardContextual"/>
    </w:rPr>
  </w:style>
  <w:style w:type="character" w:customStyle="1" w:styleId="Heading8Char">
    <w:name w:val="Heading 8 Char"/>
    <w:basedOn w:val="DefaultParagraphFont"/>
    <w:link w:val="Heading8"/>
    <w:uiPriority w:val="9"/>
    <w:semiHidden/>
    <w:rsid w:val="00200E39"/>
    <w:rPr>
      <w:rFonts w:asciiTheme="majorHAnsi" w:eastAsiaTheme="majorEastAsia" w:hAnsiTheme="majorHAnsi" w:cstheme="majorBidi"/>
      <w:color w:val="000000"/>
      <w:kern w:val="2"/>
      <w:sz w:val="20"/>
      <w:szCs w:val="20"/>
      <w:lang w:eastAsia="en-US"/>
      <w14:ligatures w14:val="standardContextual"/>
    </w:rPr>
  </w:style>
  <w:style w:type="character" w:customStyle="1" w:styleId="Heading9Char">
    <w:name w:val="Heading 9 Char"/>
    <w:basedOn w:val="DefaultParagraphFont"/>
    <w:link w:val="Heading9"/>
    <w:uiPriority w:val="9"/>
    <w:semiHidden/>
    <w:rsid w:val="00200E39"/>
    <w:rPr>
      <w:rFonts w:asciiTheme="majorHAnsi" w:eastAsiaTheme="majorEastAsia" w:hAnsiTheme="majorHAnsi" w:cstheme="majorBidi"/>
      <w:i/>
      <w:iCs/>
      <w:color w:val="000000"/>
      <w:kern w:val="2"/>
      <w:sz w:val="20"/>
      <w:szCs w:val="20"/>
      <w:lang w:eastAsia="en-US"/>
      <w14:ligatures w14:val="standardContextual"/>
    </w:rPr>
  </w:style>
  <w:style w:type="paragraph" w:customStyle="1" w:styleId="ScheduleTitle">
    <w:name w:val="Schedule Title"/>
    <w:basedOn w:val="Paragraph"/>
    <w:qFormat/>
    <w:rsid w:val="00200E39"/>
    <w:rPr>
      <w:b/>
    </w:rPr>
  </w:style>
  <w:style w:type="paragraph" w:customStyle="1" w:styleId="Part">
    <w:name w:val="Part"/>
    <w:basedOn w:val="Paragraph"/>
    <w:qFormat/>
    <w:rsid w:val="00200E39"/>
    <w:pPr>
      <w:numPr>
        <w:ilvl w:val="1"/>
        <w:numId w:val="22"/>
      </w:numPr>
      <w:spacing w:before="240" w:after="240"/>
      <w:jc w:val="left"/>
    </w:pPr>
    <w:rPr>
      <w:b/>
    </w:rPr>
  </w:style>
  <w:style w:type="paragraph" w:customStyle="1" w:styleId="AnnexTitle">
    <w:name w:val="Annex Title"/>
    <w:basedOn w:val="Paragraph"/>
    <w:next w:val="Paragraph"/>
    <w:qFormat/>
    <w:rsid w:val="00200E39"/>
    <w:pPr>
      <w:spacing w:before="240" w:after="240"/>
    </w:pPr>
    <w:rPr>
      <w:b/>
    </w:rPr>
  </w:style>
  <w:style w:type="paragraph" w:customStyle="1" w:styleId="PartTitle">
    <w:name w:val="Part Title"/>
    <w:basedOn w:val="Paragraph"/>
    <w:qFormat/>
    <w:rsid w:val="00200E39"/>
    <w:rPr>
      <w:b/>
    </w:rPr>
  </w:style>
  <w:style w:type="paragraph" w:customStyle="1" w:styleId="Testimonium">
    <w:name w:val="Testimonium"/>
    <w:basedOn w:val="Paragraph"/>
    <w:qFormat/>
    <w:rsid w:val="00200E39"/>
  </w:style>
  <w:style w:type="character" w:customStyle="1" w:styleId="apple-converted-space">
    <w:name w:val="apple-converted-space"/>
    <w:basedOn w:val="DefaultParagraphFont"/>
    <w:rsid w:val="00200E39"/>
    <w:rPr>
      <w:color w:val="000000"/>
    </w:rPr>
  </w:style>
  <w:style w:type="character" w:styleId="Emphasis">
    <w:name w:val="Emphasis"/>
    <w:basedOn w:val="DefaultParagraphFont"/>
    <w:uiPriority w:val="20"/>
    <w:qFormat/>
    <w:rsid w:val="00200E39"/>
    <w:rPr>
      <w:i/>
      <w:iCs/>
      <w:color w:val="000000"/>
    </w:rPr>
  </w:style>
  <w:style w:type="paragraph" w:customStyle="1" w:styleId="NoNumTitle-Clause">
    <w:name w:val="No Num Title - Clause"/>
    <w:basedOn w:val="TitleClause"/>
    <w:qFormat/>
    <w:rsid w:val="00200E39"/>
    <w:pPr>
      <w:numPr>
        <w:numId w:val="0"/>
      </w:numPr>
      <w:ind w:left="720"/>
    </w:pPr>
  </w:style>
  <w:style w:type="paragraph" w:customStyle="1" w:styleId="NoNumTitlesubclause1">
    <w:name w:val="No Num Title subclause1"/>
    <w:basedOn w:val="Titlesubclause1"/>
    <w:qFormat/>
    <w:rsid w:val="00200E39"/>
    <w:pPr>
      <w:numPr>
        <w:ilvl w:val="0"/>
        <w:numId w:val="0"/>
      </w:numPr>
      <w:ind w:left="720"/>
    </w:pPr>
  </w:style>
  <w:style w:type="paragraph" w:customStyle="1" w:styleId="AddressLine">
    <w:name w:val="Address Line"/>
    <w:basedOn w:val="Paragraph"/>
    <w:qFormat/>
    <w:rsid w:val="00200E39"/>
  </w:style>
  <w:style w:type="paragraph" w:styleId="Date">
    <w:name w:val="Date"/>
    <w:basedOn w:val="Paragraph"/>
    <w:qFormat/>
    <w:rsid w:val="00200E39"/>
  </w:style>
  <w:style w:type="paragraph" w:customStyle="1" w:styleId="SalutationPara">
    <w:name w:val="Salutation Para"/>
    <w:basedOn w:val="Paragraph"/>
    <w:next w:val="Paragraph"/>
    <w:qFormat/>
    <w:rsid w:val="00200E39"/>
    <w:pPr>
      <w:spacing w:before="240"/>
    </w:pPr>
  </w:style>
  <w:style w:type="character" w:styleId="FollowedHyperlink">
    <w:name w:val="FollowedHyperlink"/>
    <w:basedOn w:val="DefaultParagraphFont"/>
    <w:uiPriority w:val="99"/>
    <w:semiHidden/>
    <w:unhideWhenUsed/>
    <w:rsid w:val="00200E39"/>
    <w:rPr>
      <w:i/>
      <w:color w:val="000000"/>
      <w:u w:val="single"/>
    </w:rPr>
  </w:style>
  <w:style w:type="character" w:customStyle="1" w:styleId="DefTerm">
    <w:name w:val="DefTerm"/>
    <w:basedOn w:val="DefaultParagraphFont"/>
    <w:uiPriority w:val="1"/>
    <w:qFormat/>
    <w:rsid w:val="00200E39"/>
    <w:rPr>
      <w:b/>
      <w:color w:val="000000"/>
    </w:rPr>
  </w:style>
  <w:style w:type="table" w:customStyle="1" w:styleId="ShadedTable">
    <w:name w:val="Shaded Table"/>
    <w:basedOn w:val="TableNormal"/>
    <w:uiPriority w:val="99"/>
    <w:rsid w:val="00200E39"/>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200E39"/>
    <w:rPr>
      <w:i/>
    </w:rPr>
  </w:style>
  <w:style w:type="paragraph" w:customStyle="1" w:styleId="LetterTitle">
    <w:name w:val="Letter Title"/>
    <w:basedOn w:val="Paragraph"/>
    <w:qFormat/>
    <w:rsid w:val="00200E39"/>
    <w:rPr>
      <w:b/>
    </w:rPr>
  </w:style>
  <w:style w:type="paragraph" w:customStyle="1" w:styleId="LongQuestionPara">
    <w:name w:val="Long Question Para"/>
    <w:basedOn w:val="Paragraph"/>
    <w:link w:val="LongQuestionParaChar"/>
    <w:rsid w:val="00200E39"/>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200E39"/>
    <w:rPr>
      <w:rFonts w:ascii="Arial" w:eastAsia="Arial Unicode MS" w:hAnsi="Arial" w:cs="Arial"/>
      <w:color w:val="000000"/>
      <w:kern w:val="2"/>
      <w:sz w:val="20"/>
      <w:szCs w:val="20"/>
      <w:lang w:val="en-US" w:eastAsia="en-US"/>
      <w14:ligatures w14:val="standardContextual"/>
    </w:rPr>
  </w:style>
  <w:style w:type="paragraph" w:customStyle="1" w:styleId="ShortQuestionPara">
    <w:name w:val="Short Question Para"/>
    <w:basedOn w:val="Paragraph"/>
    <w:link w:val="ShortQuestionParaChar"/>
    <w:rsid w:val="00200E39"/>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200E39"/>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200E39"/>
    <w:rPr>
      <w:rFonts w:ascii="Arial" w:eastAsia="Arial Unicode MS" w:hAnsi="Arial" w:cs="Arial"/>
      <w:color w:val="000000"/>
      <w:szCs w:val="20"/>
      <w:lang w:eastAsia="en-US"/>
    </w:rPr>
  </w:style>
  <w:style w:type="paragraph" w:customStyle="1" w:styleId="811D3A974D454A258B71E3C4DE24C4F210">
    <w:name w:val="811D3A974D454A258B71E3C4DE24C4F210"/>
    <w:rsid w:val="00360D83"/>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200E39"/>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200E39"/>
    <w:pPr>
      <w:jc w:val="center"/>
    </w:pPr>
    <w:rPr>
      <w:sz w:val="28"/>
    </w:rPr>
  </w:style>
  <w:style w:type="paragraph" w:customStyle="1" w:styleId="Title-Clause">
    <w:name w:val="Title - Clause"/>
    <w:aliases w:val="BIWS Heading 1"/>
    <w:basedOn w:val="Normal"/>
    <w:rsid w:val="00200E39"/>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200E39"/>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200E39"/>
    <w:pPr>
      <w:spacing w:before="120"/>
    </w:pPr>
    <w:rPr>
      <w:b w:val="0"/>
    </w:rPr>
  </w:style>
  <w:style w:type="paragraph" w:customStyle="1" w:styleId="CoversheetParagraph">
    <w:name w:val="Coversheet Paragraph"/>
    <w:basedOn w:val="Normal"/>
    <w:autoRedefine/>
    <w:rsid w:val="00200E39"/>
    <w:pPr>
      <w:spacing w:after="0"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200E39"/>
    <w:rPr>
      <w:smallCaps w:val="0"/>
      <w:sz w:val="22"/>
    </w:rPr>
  </w:style>
  <w:style w:type="paragraph" w:customStyle="1" w:styleId="CoversheetStaticText">
    <w:name w:val="Coversheet Static Text"/>
    <w:basedOn w:val="CoversheetIntro"/>
    <w:qFormat/>
    <w:rsid w:val="00200E39"/>
    <w:rPr>
      <w:b w:val="0"/>
    </w:rPr>
  </w:style>
  <w:style w:type="paragraph" w:customStyle="1" w:styleId="CoversheetParty">
    <w:name w:val="Coversheet Party"/>
    <w:basedOn w:val="CoversheetIntro"/>
    <w:qFormat/>
    <w:rsid w:val="00200E39"/>
  </w:style>
  <w:style w:type="paragraph" w:customStyle="1" w:styleId="NoNumUntitledClause">
    <w:name w:val="No Num Untitled Clause"/>
    <w:basedOn w:val="UntitledClause"/>
    <w:qFormat/>
    <w:rsid w:val="00200E39"/>
    <w:pPr>
      <w:numPr>
        <w:numId w:val="0"/>
      </w:numPr>
      <w:ind w:left="720"/>
    </w:pPr>
  </w:style>
  <w:style w:type="paragraph" w:customStyle="1" w:styleId="BackgroundSubclause1">
    <w:name w:val="Background Subclause1"/>
    <w:basedOn w:val="Background"/>
    <w:qFormat/>
    <w:rsid w:val="00200E39"/>
    <w:pPr>
      <w:numPr>
        <w:ilvl w:val="1"/>
      </w:numPr>
    </w:pPr>
  </w:style>
  <w:style w:type="paragraph" w:customStyle="1" w:styleId="BackgroundSubclause2">
    <w:name w:val="Background Subclause2"/>
    <w:basedOn w:val="Background"/>
    <w:qFormat/>
    <w:rsid w:val="00200E39"/>
    <w:pPr>
      <w:numPr>
        <w:ilvl w:val="3"/>
      </w:numPr>
    </w:pPr>
  </w:style>
  <w:style w:type="paragraph" w:customStyle="1" w:styleId="HeadingLevel2CQA">
    <w:name w:val="Heading Level 2 CQA"/>
    <w:basedOn w:val="HeadingLevel2"/>
    <w:qFormat/>
    <w:rsid w:val="00200E39"/>
  </w:style>
  <w:style w:type="paragraph" w:customStyle="1" w:styleId="ClauseBullet1">
    <w:name w:val="Clause Bullet 1"/>
    <w:basedOn w:val="ParaClause"/>
    <w:qFormat/>
    <w:rsid w:val="00200E39"/>
    <w:pPr>
      <w:numPr>
        <w:numId w:val="13"/>
      </w:numPr>
      <w:ind w:left="1077" w:hanging="357"/>
      <w:outlineLvl w:val="0"/>
    </w:pPr>
  </w:style>
  <w:style w:type="paragraph" w:customStyle="1" w:styleId="ClauseBullet2">
    <w:name w:val="Clause Bullet 2"/>
    <w:basedOn w:val="ParaClause"/>
    <w:qFormat/>
    <w:rsid w:val="00200E39"/>
    <w:pPr>
      <w:numPr>
        <w:numId w:val="14"/>
      </w:numPr>
      <w:ind w:left="1434" w:hanging="357"/>
      <w:outlineLvl w:val="1"/>
    </w:pPr>
  </w:style>
  <w:style w:type="paragraph" w:customStyle="1" w:styleId="subclause1Bullet1">
    <w:name w:val="subclause 1 Bullet 1"/>
    <w:basedOn w:val="Parasubclause1"/>
    <w:qFormat/>
    <w:rsid w:val="00200E39"/>
    <w:pPr>
      <w:numPr>
        <w:numId w:val="15"/>
      </w:numPr>
      <w:ind w:left="1077" w:hanging="357"/>
    </w:pPr>
  </w:style>
  <w:style w:type="paragraph" w:customStyle="1" w:styleId="subclause2Bullet1">
    <w:name w:val="subclause 2 Bullet 1"/>
    <w:basedOn w:val="Parasubclause2"/>
    <w:qFormat/>
    <w:rsid w:val="00200E39"/>
    <w:pPr>
      <w:numPr>
        <w:numId w:val="17"/>
      </w:numPr>
      <w:ind w:left="1434" w:hanging="357"/>
    </w:pPr>
  </w:style>
  <w:style w:type="paragraph" w:customStyle="1" w:styleId="subclause3Bullet1">
    <w:name w:val="subclause 3 Bullet 1"/>
    <w:basedOn w:val="Parasubclause3"/>
    <w:qFormat/>
    <w:rsid w:val="00200E39"/>
    <w:pPr>
      <w:numPr>
        <w:numId w:val="16"/>
      </w:numPr>
      <w:ind w:left="2273" w:hanging="357"/>
    </w:pPr>
  </w:style>
  <w:style w:type="paragraph" w:customStyle="1" w:styleId="subclause1Bullet2">
    <w:name w:val="subclause 1 Bullet 2"/>
    <w:basedOn w:val="Parasubclause1"/>
    <w:qFormat/>
    <w:rsid w:val="00200E39"/>
    <w:pPr>
      <w:numPr>
        <w:numId w:val="18"/>
      </w:numPr>
      <w:ind w:left="1434" w:hanging="357"/>
    </w:pPr>
  </w:style>
  <w:style w:type="paragraph" w:customStyle="1" w:styleId="subclause2Bullet2">
    <w:name w:val="subclause 2 Bullet 2"/>
    <w:basedOn w:val="Parasubclause2"/>
    <w:qFormat/>
    <w:rsid w:val="00200E39"/>
    <w:pPr>
      <w:numPr>
        <w:numId w:val="19"/>
      </w:numPr>
      <w:ind w:left="2273" w:hanging="357"/>
    </w:pPr>
  </w:style>
  <w:style w:type="paragraph" w:customStyle="1" w:styleId="subclause3Bullet2">
    <w:name w:val="subclause 3 Bullet 2"/>
    <w:basedOn w:val="Parasubclause3"/>
    <w:qFormat/>
    <w:rsid w:val="00200E39"/>
    <w:pPr>
      <w:numPr>
        <w:numId w:val="20"/>
      </w:numPr>
      <w:ind w:left="2982" w:hanging="357"/>
    </w:pPr>
  </w:style>
  <w:style w:type="paragraph" w:customStyle="1" w:styleId="DefinedTermBullet">
    <w:name w:val="Defined Term Bullet"/>
    <w:basedOn w:val="DefinedTermPara"/>
    <w:qFormat/>
    <w:rsid w:val="00200E39"/>
    <w:pPr>
      <w:numPr>
        <w:numId w:val="21"/>
      </w:numPr>
    </w:pPr>
  </w:style>
  <w:style w:type="paragraph" w:customStyle="1" w:styleId="DefinedTermNumber">
    <w:name w:val="Defined Term Number"/>
    <w:basedOn w:val="DefinedTermPara"/>
    <w:qFormat/>
    <w:rsid w:val="00200E39"/>
    <w:pPr>
      <w:numPr>
        <w:ilvl w:val="1"/>
      </w:numPr>
    </w:pPr>
  </w:style>
  <w:style w:type="paragraph" w:customStyle="1" w:styleId="AdditionalTitle">
    <w:name w:val="Additional Title"/>
    <w:basedOn w:val="Paragraph"/>
    <w:qFormat/>
    <w:rsid w:val="00200E39"/>
    <w:pPr>
      <w:jc w:val="left"/>
    </w:pPr>
    <w:rPr>
      <w:b/>
    </w:rPr>
  </w:style>
  <w:style w:type="character" w:customStyle="1" w:styleId="error">
    <w:name w:val="error"/>
    <w:basedOn w:val="DefaultParagraphFont"/>
    <w:rsid w:val="00200E39"/>
    <w:rPr>
      <w:color w:val="000000"/>
    </w:rPr>
  </w:style>
  <w:style w:type="paragraph" w:customStyle="1" w:styleId="NoNumUntitledsubclause1">
    <w:name w:val="No Num Untitled subclause 1"/>
    <w:basedOn w:val="Untitledsubclause1"/>
    <w:qFormat/>
    <w:rsid w:val="00200E39"/>
    <w:pPr>
      <w:numPr>
        <w:ilvl w:val="0"/>
        <w:numId w:val="0"/>
      </w:numPr>
      <w:ind w:left="720"/>
    </w:pPr>
  </w:style>
  <w:style w:type="paragraph" w:customStyle="1" w:styleId="BackgroundParaClause">
    <w:name w:val="Background Para Clause"/>
    <w:basedOn w:val="Background"/>
    <w:qFormat/>
    <w:rsid w:val="00200E39"/>
    <w:pPr>
      <w:numPr>
        <w:numId w:val="0"/>
      </w:numPr>
    </w:pPr>
  </w:style>
  <w:style w:type="paragraph" w:customStyle="1" w:styleId="BackgroundParaSubclause1">
    <w:name w:val="Background Para Subclause1"/>
    <w:basedOn w:val="BackgroundSubclause1"/>
    <w:qFormat/>
    <w:rsid w:val="00200E39"/>
    <w:pPr>
      <w:numPr>
        <w:ilvl w:val="0"/>
        <w:numId w:val="0"/>
      </w:numPr>
      <w:ind w:left="994"/>
    </w:pPr>
    <w:rPr>
      <w:lang w:val="en-US"/>
    </w:rPr>
  </w:style>
  <w:style w:type="paragraph" w:customStyle="1" w:styleId="BackgroundParaSubclause2">
    <w:name w:val="Background Para Subclause2"/>
    <w:basedOn w:val="BackgroundSubclause2"/>
    <w:qFormat/>
    <w:rsid w:val="00200E39"/>
    <w:pPr>
      <w:numPr>
        <w:ilvl w:val="0"/>
        <w:numId w:val="0"/>
      </w:numPr>
      <w:ind w:left="1701"/>
    </w:pPr>
    <w:rPr>
      <w:lang w:val="en-US"/>
    </w:rPr>
  </w:style>
  <w:style w:type="paragraph" w:customStyle="1" w:styleId="ClauseBulletPara">
    <w:name w:val="Clause Bullet Para"/>
    <w:basedOn w:val="ClauseBullet1"/>
    <w:qFormat/>
    <w:rsid w:val="00200E39"/>
    <w:pPr>
      <w:numPr>
        <w:numId w:val="0"/>
      </w:numPr>
      <w:ind w:left="1080"/>
    </w:pPr>
    <w:rPr>
      <w:lang w:val="en-US"/>
    </w:rPr>
  </w:style>
  <w:style w:type="paragraph" w:customStyle="1" w:styleId="ClauseBullet2Para">
    <w:name w:val="Clause Bullet 2 Para"/>
    <w:basedOn w:val="ClauseBullet2"/>
    <w:qFormat/>
    <w:rsid w:val="00200E39"/>
    <w:pPr>
      <w:numPr>
        <w:numId w:val="0"/>
      </w:numPr>
      <w:ind w:left="1440"/>
    </w:pPr>
    <w:rPr>
      <w:lang w:val="en-US"/>
    </w:rPr>
  </w:style>
  <w:style w:type="paragraph" w:customStyle="1" w:styleId="ACTJurisdictionCheckList">
    <w:name w:val="ACTJurisdictionCheckList"/>
    <w:basedOn w:val="Normal"/>
    <w:rsid w:val="00200E39"/>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200E39"/>
  </w:style>
  <w:style w:type="paragraph" w:customStyle="1" w:styleId="ScheduleTitleClause">
    <w:name w:val="Schedule Title Clause"/>
    <w:basedOn w:val="Normal"/>
    <w:rsid w:val="00200E39"/>
    <w:pPr>
      <w:keepNext/>
      <w:numPr>
        <w:ilvl w:val="2"/>
        <w:numId w:val="22"/>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200E39"/>
    <w:pPr>
      <w:numPr>
        <w:ilvl w:val="3"/>
        <w:numId w:val="22"/>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200E39"/>
    <w:pPr>
      <w:numPr>
        <w:ilvl w:val="4"/>
        <w:numId w:val="22"/>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200E39"/>
    <w:pPr>
      <w:numPr>
        <w:ilvl w:val="5"/>
        <w:numId w:val="22"/>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200E39"/>
    <w:pPr>
      <w:spacing w:after="120" w:line="300" w:lineRule="atLeast"/>
      <w:jc w:val="both"/>
      <w:outlineLvl w:val="4"/>
    </w:pPr>
    <w:rPr>
      <w:rFonts w:ascii="Arial" w:eastAsia="Arial Unicode MS" w:hAnsi="Arial" w:cs="Arial"/>
      <w:color w:val="000000"/>
      <w:szCs w:val="20"/>
    </w:rPr>
  </w:style>
  <w:style w:type="paragraph" w:customStyle="1" w:styleId="BulletListPattern1">
    <w:name w:val="Bullet List Pattern 1"/>
    <w:basedOn w:val="BulletList1"/>
    <w:qFormat/>
    <w:rsid w:val="00200E39"/>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200E39"/>
    <w:pPr>
      <w:shd w:val="clear" w:color="auto" w:fill="D9D9D9" w:themeFill="background1" w:themeFillShade="D9"/>
      <w:ind w:left="1077"/>
    </w:pPr>
  </w:style>
  <w:style w:type="paragraph" w:customStyle="1" w:styleId="ScheduleUntitledClause">
    <w:name w:val="Schedule Untitled Clause"/>
    <w:basedOn w:val="ScheduleTitleClause"/>
    <w:qFormat/>
    <w:rsid w:val="00200E39"/>
    <w:pPr>
      <w:spacing w:before="120"/>
    </w:pPr>
    <w:rPr>
      <w:b w:val="0"/>
    </w:rPr>
  </w:style>
  <w:style w:type="paragraph" w:customStyle="1" w:styleId="EmptyClausePara">
    <w:name w:val="Empty Clause Para"/>
    <w:basedOn w:val="IgnoredSpacing"/>
    <w:qFormat/>
    <w:rsid w:val="00200E39"/>
  </w:style>
  <w:style w:type="paragraph" w:styleId="ListParagraph">
    <w:name w:val="List Paragraph"/>
    <w:basedOn w:val="Normal"/>
    <w:uiPriority w:val="34"/>
    <w:qFormat/>
    <w:rsid w:val="00200E39"/>
    <w:pPr>
      <w:ind w:left="720"/>
      <w:contextualSpacing/>
    </w:pPr>
    <w:rPr>
      <w:color w:val="000000"/>
    </w:rPr>
  </w:style>
  <w:style w:type="paragraph" w:customStyle="1" w:styleId="ScheduleTitlesubclause1">
    <w:name w:val="Schedule Title subclause1"/>
    <w:basedOn w:val="ScheduleUntitledsubclause1"/>
    <w:qFormat/>
    <w:rsid w:val="00200E39"/>
    <w:pPr>
      <w:spacing w:before="120"/>
    </w:pPr>
    <w:rPr>
      <w:b/>
    </w:rPr>
  </w:style>
  <w:style w:type="paragraph" w:customStyle="1" w:styleId="835FF0B0D5344FE4A8EE41F54AA7E17C16">
    <w:name w:val="835FF0B0D5344FE4A8EE41F54AA7E17C16"/>
    <w:rsid w:val="007C4C7B"/>
    <w:pPr>
      <w:spacing w:after="120" w:line="240" w:lineRule="auto"/>
    </w:pPr>
    <w:rPr>
      <w:rFonts w:ascii="Arial" w:eastAsia="Times New Roman" w:hAnsi="Arial" w:cs="Times New Roman"/>
      <w:color w:val="000000"/>
      <w:sz w:val="24"/>
      <w:szCs w:val="24"/>
      <w:lang w:val="en-US" w:eastAsia="en-US"/>
    </w:rPr>
  </w:style>
  <w:style w:type="paragraph" w:customStyle="1" w:styleId="SectorSpecificNoteTitle">
    <w:name w:val="Sector Specific Note Title"/>
    <w:basedOn w:val="JurisdictionDraftingnoteTitle"/>
    <w:qFormat/>
    <w:rsid w:val="00200E39"/>
  </w:style>
  <w:style w:type="table" w:customStyle="1" w:styleId="ShadedTable1">
    <w:name w:val="Shaded Table1"/>
    <w:basedOn w:val="TableNormal"/>
    <w:uiPriority w:val="99"/>
    <w:rsid w:val="00200E39"/>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200E39"/>
    <w:rPr>
      <w:color w:val="000000"/>
    </w:rPr>
  </w:style>
  <w:style w:type="character" w:customStyle="1" w:styleId="UnresolvedMention1">
    <w:name w:val="Unresolved Mention1"/>
    <w:basedOn w:val="DefaultParagraphFont"/>
    <w:uiPriority w:val="99"/>
    <w:semiHidden/>
    <w:unhideWhenUsed/>
    <w:rsid w:val="00BF75ED"/>
    <w:rPr>
      <w:color w:val="000000"/>
      <w:shd w:val="clear" w:color="auto" w:fill="E6E6E6"/>
    </w:rPr>
  </w:style>
  <w:style w:type="character" w:styleId="CommentReference">
    <w:name w:val="annotation reference"/>
    <w:basedOn w:val="DefaultParagraphFont"/>
    <w:uiPriority w:val="99"/>
    <w:semiHidden/>
    <w:unhideWhenUsed/>
    <w:rsid w:val="00C03035"/>
    <w:rPr>
      <w:color w:val="000000"/>
      <w:sz w:val="16"/>
      <w:szCs w:val="16"/>
    </w:rPr>
  </w:style>
  <w:style w:type="paragraph" w:styleId="CommentText">
    <w:name w:val="annotation text"/>
    <w:basedOn w:val="Normal"/>
    <w:link w:val="CommentTextChar"/>
    <w:uiPriority w:val="99"/>
    <w:unhideWhenUsed/>
    <w:rsid w:val="00C03035"/>
    <w:pPr>
      <w:spacing w:line="240" w:lineRule="auto"/>
    </w:pPr>
    <w:rPr>
      <w:color w:val="000000"/>
      <w:sz w:val="20"/>
      <w:szCs w:val="20"/>
    </w:rPr>
  </w:style>
  <w:style w:type="character" w:customStyle="1" w:styleId="CommentTextChar">
    <w:name w:val="Comment Text Char"/>
    <w:basedOn w:val="DefaultParagraphFont"/>
    <w:link w:val="CommentText"/>
    <w:uiPriority w:val="99"/>
    <w:rsid w:val="00C03035"/>
    <w:rPr>
      <w:color w:val="000000"/>
      <w:sz w:val="20"/>
      <w:szCs w:val="20"/>
    </w:rPr>
  </w:style>
  <w:style w:type="paragraph" w:styleId="CommentSubject">
    <w:name w:val="annotation subject"/>
    <w:basedOn w:val="CommentText"/>
    <w:next w:val="CommentText"/>
    <w:link w:val="CommentSubjectChar"/>
    <w:uiPriority w:val="99"/>
    <w:semiHidden/>
    <w:unhideWhenUsed/>
    <w:rsid w:val="00C03035"/>
    <w:rPr>
      <w:b/>
      <w:bCs/>
    </w:rPr>
  </w:style>
  <w:style w:type="character" w:customStyle="1" w:styleId="CommentSubjectChar">
    <w:name w:val="Comment Subject Char"/>
    <w:basedOn w:val="CommentTextChar"/>
    <w:link w:val="CommentSubject"/>
    <w:uiPriority w:val="99"/>
    <w:semiHidden/>
    <w:rsid w:val="00C03035"/>
    <w:rPr>
      <w:b/>
      <w:bCs/>
      <w:color w:val="000000"/>
      <w:sz w:val="20"/>
      <w:szCs w:val="20"/>
    </w:rPr>
  </w:style>
  <w:style w:type="character" w:customStyle="1" w:styleId="IgnoredEmptysubclauseChar">
    <w:name w:val="Ignored Empty subclause Char"/>
    <w:basedOn w:val="DefaultParagraphFont"/>
    <w:link w:val="IgnoredEmptysubclause"/>
    <w:rsid w:val="00200E39"/>
    <w:rPr>
      <w:color w:val="000000"/>
    </w:rPr>
  </w:style>
  <w:style w:type="paragraph" w:customStyle="1" w:styleId="6B1115FCC3DC4C6AB2CF846F0C50B663">
    <w:name w:val="6B1115FCC3DC4C6AB2CF846F0C50B663"/>
    <w:rsid w:val="005336E8"/>
    <w:pPr>
      <w:spacing w:line="276" w:lineRule="auto"/>
    </w:pPr>
    <w:rPr>
      <w:color w:val="000000"/>
    </w:rPr>
  </w:style>
  <w:style w:type="paragraph" w:styleId="TOC1">
    <w:name w:val="toc 1"/>
    <w:basedOn w:val="Normal"/>
    <w:next w:val="Normal"/>
    <w:autoRedefine/>
    <w:uiPriority w:val="39"/>
    <w:rsid w:val="00805BCE"/>
    <w:pPr>
      <w:spacing w:after="100" w:line="240" w:lineRule="auto"/>
    </w:pPr>
  </w:style>
  <w:style w:type="character" w:styleId="UnresolvedMention">
    <w:name w:val="Unresolved Mention"/>
    <w:basedOn w:val="DefaultParagraphFont"/>
    <w:uiPriority w:val="99"/>
    <w:rsid w:val="00AE5703"/>
    <w:rPr>
      <w:color w:val="605E5C"/>
      <w:shd w:val="clear" w:color="auto" w:fill="E1DFDD"/>
    </w:rPr>
  </w:style>
  <w:style w:type="paragraph" w:styleId="FootnoteText">
    <w:name w:val="footnote text"/>
    <w:basedOn w:val="Normal"/>
    <w:link w:val="FootnoteTextChar"/>
    <w:uiPriority w:val="99"/>
    <w:semiHidden/>
    <w:unhideWhenUsed/>
    <w:rsid w:val="000156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56BC"/>
    <w:rPr>
      <w:rFonts w:eastAsiaTheme="minorHAnsi"/>
      <w:kern w:val="2"/>
      <w:sz w:val="20"/>
      <w:szCs w:val="20"/>
      <w:lang w:eastAsia="en-US"/>
      <w14:ligatures w14:val="standardContextual"/>
    </w:rPr>
  </w:style>
  <w:style w:type="character" w:styleId="FootnoteReference">
    <w:name w:val="footnote reference"/>
    <w:basedOn w:val="DefaultParagraphFont"/>
    <w:uiPriority w:val="99"/>
    <w:semiHidden/>
    <w:unhideWhenUsed/>
    <w:rsid w:val="000156BC"/>
    <w:rPr>
      <w:vertAlign w:val="superscript"/>
    </w:rPr>
  </w:style>
  <w:style w:type="paragraph" w:customStyle="1" w:styleId="LFRNumberedBodyText">
    <w:name w:val="LFR Numbered Body Text"/>
    <w:basedOn w:val="Heading2"/>
    <w:link w:val="LFRNumberedBodyTextChar"/>
    <w:qFormat/>
    <w:rsid w:val="00A216C7"/>
    <w:pPr>
      <w:keepNext w:val="0"/>
      <w:keepLines w:val="0"/>
      <w:spacing w:before="40" w:after="240" w:line="240" w:lineRule="auto"/>
      <w:jc w:val="both"/>
    </w:pPr>
    <w:rPr>
      <w:rFonts w:asciiTheme="minorHAnsi" w:hAnsiTheme="minorHAnsi" w:cstheme="minorHAnsi"/>
      <w:b w:val="0"/>
      <w:bCs w:val="0"/>
      <w:color w:val="auto"/>
      <w:kern w:val="0"/>
      <w:sz w:val="22"/>
      <w:szCs w:val="22"/>
      <w14:ligatures w14:val="none"/>
    </w:rPr>
  </w:style>
  <w:style w:type="character" w:customStyle="1" w:styleId="LFRNumberedBodyTextChar">
    <w:name w:val="LFR Numbered Body Text Char"/>
    <w:basedOn w:val="DefaultParagraphFont"/>
    <w:link w:val="LFRNumberedBodyText"/>
    <w:rsid w:val="00A216C7"/>
    <w:rPr>
      <w:rFonts w:eastAsiaTheme="majorEastAsia" w:cstheme="minorHAnsi"/>
      <w:lang w:eastAsia="en-US"/>
    </w:rPr>
  </w:style>
  <w:style w:type="character" w:styleId="Strong">
    <w:name w:val="Strong"/>
    <w:basedOn w:val="DefaultParagraphFont"/>
    <w:uiPriority w:val="22"/>
    <w:qFormat/>
    <w:rsid w:val="00CF13D7"/>
    <w:rPr>
      <w:b/>
      <w:bCs/>
    </w:rPr>
  </w:style>
  <w:style w:type="paragraph" w:customStyle="1" w:styleId="Default">
    <w:name w:val="Default"/>
    <w:rsid w:val="000546C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customXml" Target="ink/ink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ustomXml" Target="ink/ink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4.png"/><Relationship Id="rId10" Type="http://schemas.openxmlformats.org/officeDocument/2006/relationships/styles" Target="styl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940386/6.7024_SCC_Facial_recognition_report_v3_WEB.pdf" TargetMode="External"/><Relationship Id="rId7" Type="http://schemas.openxmlformats.org/officeDocument/2006/relationships/hyperlink" Target="javascript:void(0);" TargetMode="External"/><Relationship Id="rId2" Type="http://schemas.openxmlformats.org/officeDocument/2006/relationships/hyperlink" Target="https://www.gov.uk/government/publications/update-to-surveillance-camera-code/amended-surveillance-camera-code-of-practice-accessible-version" TargetMode="External"/><Relationship Id="rId1" Type="http://schemas.openxmlformats.org/officeDocument/2006/relationships/hyperlink" Target="https://www.gov.uk/government/consultations/legal-framework-for-using-facial-recognition-in-law-enforcement/consultation-on-a-new-legal-framework-for-law-enforcement-use-of-biometrics-facial-recognition-and-similar-technologies-accessible" TargetMode="External"/><Relationship Id="rId6" Type="http://schemas.openxmlformats.org/officeDocument/2006/relationships/hyperlink" Target="https://www.college.police.uk/guidance/police-information-and-records-management-code-practice" TargetMode="External"/><Relationship Id="rId5" Type="http://schemas.openxmlformats.org/officeDocument/2006/relationships/hyperlink" Target="https://www.college.police.uk/app/live-facial-recognition/live-facial-recognition" TargetMode="External"/><Relationship Id="rId4" Type="http://schemas.openxmlformats.org/officeDocument/2006/relationships/hyperlink" Target="https://ico.org.uk/for-organisations/uk-gdpr-guidance-and-resources/cctv-and-video-surveillance/guidance-on-video-surveillance-including-cctv/"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10T09:27:06.707"/>
    </inkml:context>
    <inkml:brush xml:id="br0">
      <inkml:brushProperty name="width" value="0.1" units="cm"/>
      <inkml:brushProperty name="height" value="0.1" units="cm"/>
      <inkml:brushProperty name="color" value="#004F8B"/>
    </inkml:brush>
  </inkml:definitions>
  <inkml:trace contextRef="#ctx0" brushRef="#br0">1 54 8192,'0'-28'13456,"0"3"-8890,17 96-4566,-11-109 0,-2 25 0,-2 34 0,-2 4 0,0-24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10T09:27:03.997"/>
    </inkml:context>
    <inkml:brush xml:id="br0">
      <inkml:brushProperty name="width" value="0.1" units="cm"/>
      <inkml:brushProperty name="height" value="0.1" units="cm"/>
      <inkml:brushProperty name="color" value="#004F8B"/>
    </inkml:brush>
  </inkml:definitions>
  <inkml:trace contextRef="#ctx0" brushRef="#br0">64 0 8192,'-5'4'18022,"-3"1"-18022,0 1 0,-1 0 0,-1 1 0,1 0 0,0 0 0,3-1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dm:cachedDataManifest xmlns:cdm="http://schemas.microsoft.com/2004/VisualStudio/Tools/Applications/CachedDataManifest.xsd" cdm:revision="1"/>
</file>

<file path=customXml/item2.xml><?xml version="1.0" encoding="utf-8"?>
<ct:contentTypeSchema xmlns:ct="http://schemas.microsoft.com/office/2006/metadata/contentType" xmlns:ma="http://schemas.microsoft.com/office/2006/metadata/properties/metaAttributes" ct:_="" ma:_="" ma:contentTypeName="Document" ma:contentTypeID="0x010100D6E2577435D859428A31545F4A36AED8" ma:contentTypeVersion="17" ma:contentTypeDescription="Create a new document." ma:contentTypeScope="" ma:versionID="a1c76f0329c84d58c63ad0eaf08615d9">
  <xsd:schema xmlns:xsd="http://www.w3.org/2001/XMLSchema" xmlns:xs="http://www.w3.org/2001/XMLSchema" xmlns:p="http://schemas.microsoft.com/office/2006/metadata/properties" xmlns:ns2="47158fbb-d18a-449f-b04b-816fa6845dde" xmlns:ns3="ff5de01b-eacf-4d35-bc21-0ba5f36da215" targetNamespace="http://schemas.microsoft.com/office/2006/metadata/properties" ma:root="true" ma:fieldsID="fcdce0b1c9fcf2f9161dbce48f8fdb1f" ns2:_="" ns3:_="">
    <xsd:import namespace="47158fbb-d18a-449f-b04b-816fa6845dde"/>
    <xsd:import namespace="ff5de01b-eacf-4d35-bc21-0ba5f36da2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58fbb-d18a-449f-b04b-816fa6845d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b56da45-0f5b-4ceb-be49-a67036919b1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5de01b-eacf-4d35-bc21-0ba5f36da21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c608c5-2dba-4bb9-b740-e616800a571b}" ma:internalName="TaxCatchAll" ma:showField="CatchAllData" ma:web="ff5de01b-eacf-4d35-bc21-0ba5f36da21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b56da45-0f5b-4ceb-be49-a67036919b12" ContentTypeId="0x0101" PreviousValue="false"/>
</file>

<file path=customXml/item4.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n-document xmlns:xsd="http://www.w3.org/2001/XMLSchema" xmlns:xsi="http://www.w3.org/2001/XMLSchema-instance" guid="0" synced="true" validated="true">
  <n-docbody>
    <standard.doc precedenttype="agreement">
      <prelim>
        <product.name>product.name0</product.name>
        <title>Settlement agreement and release: civil litigation (with drafting notes)</title>
        <author>Peter Morton, K &amp; L Gates</author>
        <resource.type>Standard documents</resource.type>
        <juris>juris0</juris>
        <juris>juris1</juris>
      </prelim>
      <abstract>
        <para>
          <paratext>This is an example of a settlement or compromise agreement and release (with integrated drafting notes) that could serve as a useful starting point when drafting such an agreement. In order to ensure that a settlement agreement achieves its purpose, it is necessary for the agreement to be tailored to the particular circumstances of the matter in question.</paratext>
        </para>
        <para>
          <paratext>
            This settlement agreement should be read in conjunction with the integrated drafting notes. You may find it helpful to refer to the 
            <link href="1-205-0163" style="ACTLinkPLCtoPLC">
              <ital>Checklist of issues to consider on drafting a settlement agreement</ital>
            </link>
            .
          </paratext>
        </para>
        <para>
          <paratext>
            If you need to prepare a settlement deed instead of a settlement agreement (for example, because there is no consideration passing between the parties), see 
            <link href="4-205-4013" style="ACTLinkPLCtoPLC">
              <ital>Standard document, Settlement deed and release: civil litigation (with drafting notes)</ital>
            </link>
            .
          </paratext>
        </para>
      </abstract>
      <toc.identifier hasToc="true"/>
      <body>
        <drafting.note id="a425906" jurisdiction="">
          <head align="left" preservecase="true">
            <headtext>General document notes</headtext>
          </head>
          <division id="a000007" level="1">
            <para>
              <paratext>In order to ensure that a settlement agreement achieves its purpose, it is necessary for the agreement to be tailored to the particular circumstances of the matter in question.</paratext>
            </para>
            <para>
              <paratext>
                Whilst examples of a settlement agreement (as seen here) and of a settlement deed are provided (see 
                <link href="4-205-4013" style="ACTLinkPLCtoPLC">
                  <ital>Standard document, Settlement deed and release: civil litigation (with drafting notes)</ital>
                </link>
                ) the dangers of relying on a precedent are just as significant as for any other legal document. Without a carefully drafted agreement, dealing clearly and explicitly with every detail of the proposed deal, your clients may not end up with the resolution they were hoping for.
              </paratext>
            </para>
            <para>
              <paratext>
                You may find it helpful to refer to the 
                <link href="1-205-0163" style="ACTLinkPLCtoPLC">
                  <ital>Checklist of issues to consider on drafting a settlement agreement</ital>
                </link>
                .
              </paratext>
            </para>
            <division id="a600852" level="2">
              <head align="left" preservecase="true">
                <headtext>Agreement or Deed</headtext>
              </head>
              <para>
                <paratext>
                  In most circumstances, a settlement agreement will be effective. More unusually, a 
                  <link href="1-107-6055" style="ACTLinkPLCtoPLC">
                    <bold>
                      <ital>deed</ital>
                    </bold>
                  </link>
                   may be necessary, for example, when the settlement arrangements do not involve any 
                  <link href="3-107-5984" style="ACTLinkPLCtoPLC">
                    <bold>
                      <ital>consideration</ital>
                    </bold>
                  </link>
                   passing between the parties. All references to an "agreement" in these drafting notes should be taken as referring to a deed as well, unless otherwise specified.
                </paratext>
              </para>
              <para>
                <paratext>
                  Note the salutary lesson in 
                  <link href="D-000-3777" style="ACTLinkPLCtoPLC">
                    <ital>Silver Queen Maritime Ltd v Persia Petroleum Services plc [2010] EWHC 2867 (QB)</ital>
                  </link>
                  . The parties to litigation had reached a settlement agreement and their solicitors had agreed the terms of a settlement deed. The defendant company (D) executed the deed and sent it to the claimant company (C) for execution. Before C had executed the deed, D gave notice that it withdrew from the agreement, on the grounds that C had failed to disclose the fact that, in negotiations with a third party who would be funding any settlement, C had offered to accept a lower sum in settlement of its claims. The High Court held that the agreement was irrevocable when D sent the signed deed to C. The deed was delivered in escrow and became binding when C signed and returned it. There is a presumption that a deed executed by a company is delivered as a deed when it is executed. Whether this presumption has been rebutted in any case will be determined objectively. The fact that the deed had not been dated did not, in itself, invalidate the deed. For more on this decision, see 
                  <link href="4-504-0800" style="ACTLinkPLCtoPLC">
                    <ital>Legal update, High Court holds settlement agreement to be binding despite non-disclosure of previous lower offers</ital>
                  </link>
                  . For more on the execution of deeds, see 
                  <link href="0-380-8400" style="ACTLinkPLCtoPLC">
                    <ital>Practice note, Execution of deeds and documents</ital>
                  </link>
                  .
                </paratext>
              </para>
            </division>
            <division id="a415225" level="2">
              <head align="left" preservecase="true">
                <headtext>Execution</headtext>
              </head>
              <para>
                <paratext>
                  Use the correct form of execution, depending on whether or not your agreement is a deed. For more information on the correct execution clause, see 
                  <link href="0-380-8400" style="ACTLinkPLCtoPLC">
                    <ital>Practice note, Execution of deeds and documents</ital>
                  </link>
                  .
                </paratext>
              </para>
            </division>
          </division>
          <division id="a202154" level="1">
            <head align="left" preservecase="true">
              <headtext>Climate-aligned clauses</headtext>
            </head>
            <para>
              <paratext>
                There is increasing awareness of climate change and the need to take action to mitigate it. The 
                <link href="w-031-7414" style="ACTLinkPLCtoPLC">
                  <bold>
                    <ital>Chancery Lane Project (TCLP)</ital>
                  </bold>
                </link>
                 has created several draft clauses and other legal resources that lawyers, businesses and governments can use to support the fight against climate change and the move towards achieving 
                <link href="w-031-7415" style="ACTLinkPLCtoPLC">
                  <ital>net zero</ital>
                </link>
                .
              </paratext>
            </para>
            <para>
              <paratext>
                This 
                <link href="w-031-9941" style="ACTLinkPLCtoPLC">
                  <ital>Toolkit, The Chancery Lane Project: model climate clauses</ital>
                </link>
                 sets out an index of model climate clauses that have been drafted by the TCLP. Each model clause is available for free on the 
                <link href="https://chancerylaneproject.org/" style="ACTLinkURL">
                  <ital>TCLP website</ital>
                </link>
                , and can be adapted for use by the parties. The clause on 
                <ital>Avoiding Excessive Paperwork in Dispute Resolution</ital>
                , which appears under the 
                <link anchor="a137384" href="w-031-9941" style="ACTLinkPLCtoPLC">
                  <ital>Dispute resolution</ital>
                </link>
                 heading in the toolkit, may be of particular relevance in a settlement agreement.
              </paratext>
            </para>
          </division>
        </drafting.note>
        <cover.sheet>
          <head align="left" preservecase="true">
            <headtext>Settlement agreement and release</headtext>
          </head>
          <party.name>Party A</party.name>
          <AdditionalPartyType>
            <static.and>and</static.and>
            <party.name>Party B</party.name>
          </AdditionalPartyType>
        </cover.sheet>
        <intro default="true">
          <intro.date>This agreement is dated [DATE]</intro.date>
        </intro>
        <parties>
          <head align="left" preservecase="true">
            <headtext>PARTIES</headtext>
          </head>
          <drafting.note id="a237687" jurisdiction="">
            <head align="left" preservecase="true">
              <headtext>Parties</headtext>
            </head>
            <division id="a000008" level="1">
              <para>
                <paratext>Ensuring you have all of the correct parties is a key consideration in producing an effective settlement agreement. This example settlement agreement assumes two corporate parties. Where more than two parties are involved (for example, where there is a contributing Part 20 defendant or a joint tortfeasor) include them all in this section, describe their rights and obligations under the subsequent clauses and ensure that all parties sign the agreement.</paratext>
              </para>
              <para>
                <paratext>
                  The example settlement agreement envisages the contracting parties acting as agent for their respective Related Parties in respect of the settlement, and warranting their authority to that effect (see 
                  <internal.reference refid="a673942">Clause 8</internal.reference>
                  ). Whilst a detailed discussion of the effect of such agency arrangement is beyond the scope of this drafting note, the true position may be that the contracting party does have such authority (whether actual, implied or ostensible), in which case the Related Parties are bound. (For more information on the law in this area, see 
                  <ital>Practice notes, </ital>
                  <link href="w-003-1272" style="ACTLinkPLCtoPLC">
                    <ital>Common law of agency</ital>
                  </link>
                   and 
                  <link href="9-107-3963" style="ACTLinkPLCtoPLC">
                    <ital>Contracts: authority</ital>
                  </link>
                  .) Alternatively, the contracting party may not have such authority with the result that the Related Parties may not be bound in which case the opposing party may have an action against the contracting party for breach of warranty of authority.
                </paratext>
              </para>
              <para>
                <paratext>If a party is concerned that a Related Party of the other party may bring a claim in respect of a dispute that is covered by the settlement and is not prepared to rely on the warranty of authority, then that party may either (i) make the Related Party a party to the settlement, or (ii) obtain written confirmation from the Related Party (for example, by way of a side letter) confirming that the contracting party is acting as authorised agent of the Related Party for the purposes of the settlement agreement.</paratext>
              </para>
              <para>
                <paratext>
                  A Related Party may be able to enforce rights conferred on it by the settlement agreement, unless such rights have been excluded (see 
                  <internal.reference refid="a859886">Clause 16</internal.reference>
                  ). Alternatively, a Related Party may also be expressly named as a third party (see Clause 16.1 and the Contracts (Rights of Third Parties) Act 1999).
                </paratext>
              </para>
              <para>
                <paratext>A party who commits that a Related Party will not bring proceedings needs to consider carefully whether it has sufficient control over the Related Party (taking into account that the ownership of the Related Party may change). This is because if a Related Party of one party brings proceedings against the other party, this could place the first party in breach of the settlement agreement and also make them liable under any indemnity.</paratext>
              </para>
              <para>
                <paratext>If a settlement agreement is entered into by parties where there are, for example, large numbers of group companies, considerable care may be needed in identifying which parties are intended to be bound by and to benefit from the agreement. Care should also be taken with definitions when seeking to include categories of third parties, whether that be a Related Party or otherwise. If the language used to identify such parties is too vague, the scope of the term may be open to challenge.</paratext>
              </para>
            </division>
          </drafting.note>
          <party executionmethod="contract" id="a117952" status="individual">
            <identifier>(1)</identifier>
            <defn.item>
              <defn>
                <para>
                  <paratext>[FULL COMPANY NAME] incorporated and registered in England and Wales with company number [NUMBER] whose registered office is at [REGISTERED OFFICE ADDRESS]</paratext>
                </para>
              </defn>
              <defn.term>Party A</defn.term>
            </defn.item>
          </party>
          <party executionmethod="contract" id="a557279" status="individual">
            <identifier>(2)</identifier>
            <defn.item>
              <defn>
                <para>
                  <paratext>[FULL COMPANY NAME] incorporated and registered in England and Wales with company number [NUMBER] whose registered office is at [REGISTERED OFFICE ADDRESS]</paratext>
                </para>
              </defn>
              <defn.term>Party B</defn.term>
            </defn.item>
          </party>
        </parties>
        <recitals>
          <head align="left" preservecase="true">
            <headtext>BACKGROUND</headtext>
          </head>
          <clause id="a618059">
            <identifier>(A)</identifier>
            <para>
              <paratext>
                [A dispute has arisen between the parties relating to [GIVE A DESCRIPTION FOR THE DISPUTE] (
                <defn.term>Dispute</defn.term>
                ).
              </paratext>
            </para>
            <para>
              <paratext>
                <bold>OR</bold>
              </paratext>
            </para>
          </clause>
          <clause id="a613828">
            <identifier>(B)</identifier>
            <para>
              <paratext>
                Court proceedings were commenced on [DATE] in the [COURT] (claim number [CLAIM NUMBER]) (
                <defn.term>Proceedings</defn.term>
                ) by Party A against Party B regarding [DESCRIBE ALLEGATION AND ANY RELEVANT AGREEMENT] (
                <defn.term>Dispute</defn.term>
                ).]
              </paratext>
            </para>
          </clause>
          <clause id="a393565">
            <identifier>(C)</identifier>
            <para>
              <paratext>The parties have settled their differences and have agreed terms for the full and final settlement of the Dispute and wish to record those terms of settlement, on a binding basis, in this agreement.</paratext>
            </para>
          </clause>
        </recitals>
        <operative xrefname="clause">
          <head align="left" preservecase="true">
            <headtext>Agreed terms</headtext>
          </head>
          <clause id="a1029519">
            <identifier>1.</identifier>
            <head align="left" preservecase="true">
              <headtext>Definitions and interpretation</headtext>
            </head>
            <drafting.note id="a703620" jurisdiction="">
              <head align="left" preservecase="true">
                <headtext>Definitions and interpretation</headtext>
              </head>
              <division id="a000009" level="1">
                <para>
                  <paratext>Consider whether it is appropriate to use any defined terms. The precedent provided adopts a definition of "Related Parties", which term is applied to the clauses dealing with the release (Clause 5), agreement not to sue (Clause 6) and indemnification (Clause 9).</paratext>
                </para>
                <para>
                  <paratext>
                    As to whether Related Parties are bound by or benefit from the agreement see 
                    <internal.reference refid="a237687">Drafting note, Parties</internal.reference>
                     above.
                  </paratext>
                </para>
                <para>
                  <paratext>
                    For more information on interpretation clauses, see 
                    <link href="5-107-3795" style="ACTLinkPLCtoPLC">
                      <ital>Standard clause, Interpretation</ital>
                    </link>
                    .
                  </paratext>
                </para>
              </division>
            </drafting.note>
            <subclause1 id="a781575">
              <para>
                <paratext>In this agreement, unless the context otherwise requires, the following words and expressions have the following meanings:</paratext>
              </para>
              <defn.item id="a217612">
                <defn.term>Related Parties</defn.term>
                <defn>
                  <para>
                    <paratext>a party's parent, subsidiaries, assigns, transferees, representatives, principals, agents, officers or directors.</paratext>
                  </para>
                </defn>
              </defn.item>
              <para>
                <paratext>[ADD ANY FURTHER APPROPRIATE DEFINITIONS]</paratext>
              </para>
            </subclause1>
          </clause>
          <clause id="a604038">
            <identifier>2.</identifier>
            <head align="left" preservecase="true">
              <headtext>Effect of this agreement</headtext>
            </head>
            <drafting.note id="a100284" jurisdiction="">
              <head align="left" preservecase="true">
                <headtext>Effect of Agreement</headtext>
              </head>
              <division id="a000010" level="1">
                <para>
                  <paratext>
                    Clause 2 is intended to provide the parties with the option of making the settlement agreement conditional. What the condition is will depend on the negotiating strengths of the parties and their objectives. The agreement might be stated to be conditional simply upon signature, in which case it is to all intents and purposes fully effective straight away. There may, however, be circumstances where it is desirable to make the agreement conditional on an occurrence, such as payment of the agreed sum, suspension or withdrawal of proceedings, delivery of goods, or provision of services to a third party. This is particularly the case if your client has concerns about the other party's ability or willingness to perform and hence wants to be able to continue to pursue that party if necessary without the expense of recommencing proceedings from scratch or lifting a 
                    <link href="9-205-5227" style="ACTLinkPLCtoPLC">
                      <bold>
                        <ital>stay</ital>
                      </bold>
                    </link>
                    . For an example of why it can be important to make the agreement to release the defendant from all claims conditional on first receiving the settlement sum from the defendant, see 
                    <link href="D-012-2076" style="ACTLinkPLCtoPLC">
                      <ital>Helmsley Acceptances Ltd v Ali &amp; Anor [2012] EWHC 1591 (Ch)</ital>
                    </link>
                    .
                  </paratext>
                </para>
              </division>
            </drafting.note>
            <subclause1 id="a871071">
              <para>
                <paratext>
                  [The parties hereby agree that [on [CONDITION]] this agreement shall immediately be fully and effectively binding on them. 
                  <bold>OR</bold>
                   Unless and until [CONDITION], this agreement shall be of no effect.]
                </paratext>
              </para>
            </subclause1>
          </clause>
          <clause id="a69972">
            <identifier>3.</identifier>
            <head align="left" preservecase="true">
              <headtext>Payment</headtext>
            </head>
            <drafting.note id="a591625" jurisdiction="">
              <head align="left" preservecase="true">
                <headtext>Payment</headtext>
              </head>
              <division id="a000011" level="1">
                <para>
                  <paratext>
                    Making time of the essence for the payment obligation will enable the receiving party to terminate the settlement agreement immediately if the payment date is missed, even if it is missed by only a short period. Consider whether this is in your client's interests. If no provision which makes time of the essence is included, late payment is still a breach of contract. However, such a breach, if remedied within a reasonable time, may not be a 
                    <link href="1-107-7149" style="ACTLinkPLCtoPLC">
                      <bold>
                        <ital>repudiatory breach</ital>
                      </bold>
                    </link>
                     that entitles the non-defaulting party to elect to terminate the settlement agreement. In this context, a "reasonable time" will depend on the nature of the contract, the relevant obligation and the surrounding facts and circumstances.
                  </paratext>
                </para>
                <para>
                  <paratext>The first version of the payment clause provides for payment by instalments.</paratext>
                </para>
                <para>
                  <paratext>
                    There is a possibility that allowing payment by instalments where the paying party is an individual may amount to the provision of credit under the 
                    <link href="0-507-2794" style="ACTLinkPLCtoPLC">
                      <ital>Consumer Credit Act 1974</ital>
                    </link>
                     (CCA) in certain (limited) circumstances, in which case the settlement agreement might be a "consumer credit agreement" under section 8 of the CCA. In 
                    <link href="D-105-6459" style="ACTLinkPLCtoPLC">
                      <ital>CFL Finance Ltd v Laser Trust and Moises Gertner [2021] EWCA Civ 228</ital>
                    </link>
                    , in concluding that there could be credit under a settlement agreement, meaning that a settlement agreement could be a consumer credit agreement, the court said that the key question was whether the settlement agreement involved the provision of "credit". It held, among other things, that if a debtor does not dispute that they are indebted to the creditor and the two enter into an agreement pursuant to which, for consideration, the creditor agrees to accept payment by instalments, it appears clear that the debtor is provided with "credit" within the meaning of the CCA and, hence, that the agreement is a "consumer credit agreement" under section 8 of the CCA. The implications of a settlement agreement being found to be a consumer credit agreement could be severe, as such an agreement that does not fulfil the requirements of Part V of the CCA cannot be enforced except on an order of the court (section 65 of the CCA). For more detailed information and analysis of this decision, see 
                    <link href="w-029-8361" style="ACTLinkPLCtoPLC">
                      <ital>Legal update, Settlement agreements could be subject to the CCA (Court of Appeal)</ital>
                    </link>
                     and 
                    <link href="w-030-2730" style="ACTLinkPLCtoPLC">
                      <ital>Article, Gough Square Chambers' consumer credit column: March 2021: Safe to settle?</ital>
                    </link>
                    .
                  </paratext>
                </para>
                <para>
                  <paratext>
                    Consider whether you wish to make provision for interest on late payment(s) and, if so, at what rate. The aim of Clause 3.2 is to provide a deterrent to late payment without being unenforceable on the basis of being a penalty. (For more information generally on express interest clauses, see 
                    <link href="7-107-3799" style="ACTLinkPLCtoPLC">
                      <ital>Practice note, Interest clauses</ital>
                    </link>
                    .)
                  </paratext>
                </para>
                <para>
                  <paratext>Specialist tax advice should be sought on the tax treatment of the settlement payment, including the tax treatment of interest.</paratext>
                </para>
                <para>
                  <paratext>
                    The second version of the payment clause provides for a straightforward transfer of a single lump sum payment. For simplicity, it is normally sensible to wrap up issues of costs and tax in the figure specified. Any income tax or 
                    <link href="8-107-5849" style="ACTLinkPLCtoPLC">
                      <bold>
                        <ital>capital gains tax</ital>
                      </bold>
                    </link>
                     (or 
                    <link href="1-107-5999" style="ACTLinkPLCtoPLC">
                      <bold>
                        <ital>corporation tax</ital>
                      </bold>
                    </link>
                     on income or gains) charge on Party A should be reflected in the payment, as should any tax for which Party A would have been liable but for the action giving rise to the dispute. Again, specialist tax advice should be sought to avoid the defendant unwittingly overpaying or the claimant finding itself with an unexpected tax bill (see 
                    <link href="3-205-5372" style="ACTLinkPLCtoPLC">
                      <ital>Practice notes, Tax treatment of damages</ital>
                    </link>
                     and 
                    <link href="1-205-5373" style="ACTLinkPLCtoPLC">
                      <ital>Tax treatment of damages: checklist of key points for advisers</ital>
                    </link>
                    ). Not all settlements need to involve payment. For example, a party may undertake to provide a professional service either free or at a reduced rate or a party may forbear from doing something.
                  </paratext>
                </para>
              </division>
            </drafting.note>
            <subclause1 id="a738850">
              <identifier>3.1</identifier>
              <para>
                <paratext>Party B shall pay to Party A the total sum of £[AMOUNT] divided into instalments payable by way of bank transfer to [BANK DETAILS] as follows:</paratext>
              </para>
              <subclause2 id="a732213">
                <identifier>(a)</identifier>
                <para>
                  <paratext>the amount of £[AMOUNT] to be paid on or before [DATE];</paratext>
                </para>
              </subclause2>
              <subclause2 id="a486543">
                <identifier>(b)</identifier>
                <para>
                  <paratext>the amount of £[AMOUNT] to be paid on or before [DATE]; and</paratext>
                </para>
              </subclause2>
              <subclause2 id="a223555">
                <identifier>(c)</identifier>
                <para>
                  <paratext>the amount of £[AMOUNT] to be paid on or before [DATE].</paratext>
                </para>
              </subclause2>
            </subclause1>
            <subclause1 id="a746940">
              <identifier>3.2</identifier>
              <para>
                <paratext>
                  Interest shall accrue and be payable by Party B on any part of the £[AMOUNT] that is not paid in accordance with 
                  <internal.reference refid="a738850">Clause 3.1</internal.reference>
                   at the rate of 2% per annum above the base rate for the time being of [NAME OF BANK].
                </paratext>
              </para>
              <para>
                <paratext>
                  <bold>OR</bold>
                </paratext>
              </para>
              <para>
                <paratext>Party B shall, within [NUMBER] days of the date of this agreement, [time being of the essence,] pay to Party A the total sum of £[AMOUNT] by way of bank transfer to [BANK DETAILS].</paratext>
              </para>
            </subclause1>
          </clause>
          <clause id="a176785">
            <identifier>4.</identifier>
            <head align="left" preservecase="true">
              <headtext>Stay OR Dismissal of action</headtext>
            </head>
            <drafting.note id="a544855" jurisdiction="">
              <head align="left" preservecase="true">
                <headtext>Stay or dismissal of action</headtext>
              </head>
              <division id="a000012" level="1">
                <para>
                  <paratext>If legal proceedings have been commenced, consider whether you wish to dismiss or merely stay the proceedings. If the proceedings are merely stayed on agreed terms in the consent order then the terms of settlement can be enforced within the original proceedings rather than requiring a fresh claim to be brought, which is often expensive and time consuming.</paratext>
                </para>
                <para>
                  <paratext>Consider whether you wish to specify which party is responsible for taking all necessary steps to obtain the order and the time period within which they must take those steps. In these circumstances, you may also wish to require the party which obtains the order to serve a copy on the other party within a specified period.</paratext>
                </para>
                <para>
                  <paratext>
                    Occasionally the claimant may need to discontinue proceedings. Discontinuance is the termination of the claim, in whole or in part, by the claimant in accordance with CPR 38. The usual rule under CPR 38.6 is that the claimant is subsequently liable for the defendant's costs. In these circumstances, it is always better for the claimant to try to negotiate a settlement. In certain circumstances, a defendant might agree that both parties bear their own costs if the claim is withdrawn (a "drop hands" settlement). For more information on discontinuance, see 
                    <link href="6-203-3722" style="ACTLinkPLCtoPLC">
                      <ital>Practice note, Discontinuance: an overview</ital>
                    </link>
                    .
                  </paratext>
                </para>
              </division>
            </drafting.note>
            <subclause1 id="a356093">
              <para>
                <paratext>
                  [The parties hereby consent to, and shall take all necessary steps to obtain an Order in substantially the form of the draft Order in [
                  <internal.reference refid="a830453">Annex A</internal.reference>
                  ]. 
                  <bold>OR</bold>
                   The Proceedings shall be dismissed [with no order as to costs] and the parties hereby consent to, and shall take all necessary steps to obtain, an Order in substantially the form of the draft Order in [
                  <internal.reference refid="a685277">Annex B</internal.reference>
                  ].]
                </paratext>
              </para>
            </subclause1>
          </clause>
          <clause id="a631216">
            <identifier>5.</identifier>
            <head align="left" preservecase="true">
              <headtext>Release</headtext>
            </head>
            <drafting.note id="a61604" jurisdiction="">
              <head align="left" preservecase="true">
                <headtext>Release</headtext>
              </head>
              <division id="a000013" level="1">
                <para>
                  <paratext>This clause is drafted so that the release is in extremely wide terms. Whilst a defendant will generally want the release to be drafted as widely as possible, a claimant may look to narrow the release. Further, a wide release may not be appropriate if the parties are to continue trading with each other once the dispute is resolved or have ongoing relations separate from the matter being settled. The release should be drafted in simple terms as far as possible, whilst taking care to cover all, but not more than, the actual and possible claims that the parties intend to release. Broadly speaking these tend to fall into the categories of:</paratext>
                </para>
                <list type="bulleted">
                  <list.item>
                    <para>
                      <paratext>Known claims (those related to the existing dispute or its facts, and any other on-going disputes between the parties).</paratext>
                    </para>
                  </list.item>
                  <list.item>
                    <para>
                      <paratext>Unknown existing claims (those for which a cause of action has, at the point of the agreement, arisen, but which are not known to either or both parties).</paratext>
                    </para>
                  </list.item>
                  <list.item>
                    <para>
                      <paratext>Future claims (those for which the cause of action has not yet arisen). Clear and specific language will be required to ensure unknown existing and/or future claims are excluded effectively.</paratext>
                    </para>
                  </list.item>
                </list>
                <para>
                  <paratext>You will need to give extremely careful thought to how far the release clause should go from the point of view of your particular client. Make sure you are clear about how "Dispute" is defined in the recitals of this agreement. Points to consider include:</paratext>
                </para>
                <list type="bulleted">
                  <list.item>
                    <para>
                      <paratext>Do you intend to prevent all parties from bringing claims, or will the release operate only in one direction?</paratext>
                    </para>
                  </list.item>
                  <list.item>
                    <para>
                      <paratext>
                        Do you mean to include 
                        <link href="3-107-6002" style="ACTLinkPLCtoPLC">
                          <bold>
                            <ital>counterclaims</ital>
                          </bold>
                        </link>
                        ?
                      </paratext>
                    </para>
                  </list.item>
                  <list.item>
                    <para>
                      <paratext>
                        Do you want to include just the parties to the agreement, or their related entities as well (see the "Related Parties" definition)? As to whether Related Parties are bound by or benefit from the settlement agreement, see 
                        <internal.reference refid="a237687">Drafting note, Parties</internal.reference>
                         above.
                      </paratext>
                    </para>
                  </list.item>
                  <list.item>
                    <para>
                      <paratext>Do you want to include any third parties, for example, potential joint tortfeasors?</paratext>
                    </para>
                  </list.item>
                  <list.item>
                    <para>
                      <paratext>Do you want to include an express preservation of rights against non-parties to the agreement?</paratext>
                    </para>
                  </list.item>
                  <list.item>
                    <para>
                      <paratext>If the parties have a trading history, are you sure it is in your client's interests to give up the right to pursue claims it does not know it has?</paratext>
                    </para>
                  </list.item>
                  <list.item>
                    <para>
                      <paratext>Is it in your client's interests to exclude future claims, especially if there is the prospect of the parties having a trading relationship in the future?</paratext>
                    </para>
                  </list.item>
                </list>
                <para>
                  <paratext>
                    In 
                    <link href="D-106-4766" style="ACTLinkPLCtoPLC">
                      <ital>Safe-T-Systems Holdings Ltd and another v ILR Safety CC [2021] EWHC 2992 (Ch)</ital>
                    </link>
                    , a release clause in similar terms to the one here was used. ILR (the defendant) settled proceedings against S (the claimant) for breach of a distribution agreement. The settlement agreement (agreement) contained a release from all claims "whether or not presently known ... arising out of or connected with ... the Dispute ... the Additional Claims ... the underlying facts relating to the Dispute and the Additional Claims" (clause 7), and an undertaking not to sue concerning the released claims (clause 8). The Dispute was defined by reference to the proceedings brought by ILR, and the Additional Claims meant any claim by S arising out of any statement made by ILR before the date of the agreement. The parties also undertook not to publish, to any third party, any false or defamatory comments about the other party (clause 5). Claims for breach of the agreement were excluded from the release. When S subsequently began proceedings, and ILR counterclaimed, the court held that ILR's counterclaim fell within the released claims under clause 7 and was therefore prohibited. See 
                    <link href="w-033-4285" style="ACTLinkPLCtoPLC">
                      <ital>Legal update, Court dismisses application for summary judgment on part of claim and strikes out counterclaim in proceedings for breach of settlement agreement (High Court)</ital>
                    </link>
                    .
                  </paratext>
                </para>
                <para>
                  <paratext>
                    If the intention is to settle only the claims advanced in specific named court proceedings, consider carefully the breadth of the claims made in those court proceedings. Parties should not assume that future claims will automatically be excluded from settlement simply by defining what is being settled by reference to a claim number (see 
                    <link href="D-029-0307" style="ACTLinkPLCtoPLC">
                      <ital>Brazier v News Group Newspapers Ltd [2015] EWHC 125 (Ch)</ital>
                    </link>
                     and 
                    <link href="9-597-6745" style="ACTLinkPLCtoPLC">
                      <ital>Legal update, Settlement of future claims (High Court)</ital>
                    </link>
                    . This decision was upheld by the Court of Appeal when it dismissed the appeal by one of the claimants, for the same reasons as those given by the first instance judge, in 
                    <link href="D-104-6162" style="ACTLinkPLCtoPLC">
                      <ital>Leslie v News Group Newspapers Ltd [2016] EWCA Civ 79</ital>
                    </link>
                    .)
                  </paratext>
                </para>
                <para>
                  <paratext>
                    For more on release clauses, see 
                    <link anchor="a214043" href="3-381-7747" style="ACTLinkPLCtoPLC">
                      <ital>Practice note, Settlement: construction of settlement agreements and consent orders: Construing release clauses</ital>
                    </link>
                    .
                  </paratext>
                </para>
              </division>
            </drafting.note>
            <subclause1 id="a274688">
              <para>
                <paratext>This agreement is in full and final settlement of, and each party hereby releases and forever discharges, all and/or any actions, claims, rights, demands and set-offs, whether in this jurisdiction or any other, whether or not presently known to the parties or to the law, and whether in law or equity, that it, its Related Parties or any of them ever had, may have or hereafter can, shall or may have against the other party or any of its Related Parties arising out of or connected with:</paratext>
              </para>
              <subclause2 id="a609854">
                <identifier>(a)</identifier>
                <para>
                  <paratext>the Dispute;</paratext>
                </para>
              </subclause2>
              <subclause2 condition="optional" id="a338776">
                <identifier>(b)</identifier>
                <para>
                  <paratext>the underlying facts relating to the Dispute;</paratext>
                </para>
              </subclause2>
              <subclause2 condition="optional" id="a417590">
                <identifier>(c)</identifier>
                <para>
                  <paratext>the Proceedings;</paratext>
                </para>
              </subclause2>
              <subclause2 condition="optional" id="a915567">
                <identifier>(d)</identifier>
                <para>
                  <paratext>any agreement between or act by the parties or their Related Parties or any of them; and</paratext>
                </para>
              </subclause2>
              <subclause2 condition="optional" id="a687214">
                <identifier>(e)</identifier>
                <para>
                  <paratext>any other matter arising out of or connected with the relationship between the parties.</paratext>
                </para>
              </subclause2>
              <para>
                <paratext>
                  (Collectively the 
                  <bold>Released Claims</bold>
                  )
                </paratext>
              </para>
            </subclause1>
          </clause>
          <clause id="a637853">
            <identifier>6.</identifier>
            <head align="left" preservecase="true">
              <headtext>Agreement not to sue</headtext>
            </head>
            <drafting.note id="a774662" jurisdiction="">
              <head align="left" preservecase="true">
                <headtext>Agreement not to sue</headtext>
              </head>
              <division id="a000014" level="1">
                <para>
                  <paratext>This clause provides additional protection, and supports the stay/dismissal and release.</paratext>
                </para>
                <para>
                  <paratext>
                    Such clauses do not provide blanket protection against prosecution. In 
                    <link href="D-106-1619" style="ACTLinkPLCtoPLC">
                      <ital>R v Jones (Sally Ann) [2021] EWCA Crim 1195</ital>
                    </link>
                    , the Court of Appeal dismissed an appeal against conviction which argued that proceedings against the defendant should have been stayed as the prosecution was in breach of an undertaking, given in a settlement agreement between the appellant and the private prosecutor, that it would not prosecute. While it was an abuse of process to prosecute a defendant for conduct in respect of which they had been given an assurance that no prosecution would be brought, whether that was so would depend on all the circumstances. It was always necessary to find that the proposed prosecution would be an affront to justice and that the defendant had acted on that assurance to their detriment (
                    <link href="D-101-4808" style="ACTLinkPLCtoPLC">
                      <ital>R v Abu Hamza [2006] EWCA Crim 2918</ital>
                    </link>
                    ). In the instant case it was not obvious the defendant ever believed that the settlement agreement included a promise not to bring criminal proceedings against her or that she had acted on any such belief. The settlement agreement, properly construed, could not be regarded as an unequivocal statement that no criminal proceedings would be brought against the defendant. The settlement agreement was concerned only with civil proceedings and did not promise immunity from criminal prosecution. See 
                    <link href="w-032-2053" style="ACTLinkPLCtoPLC">
                      <ital>Legal update, Settlement agreement not considered unequivocal statement against prosecution (Court of Appeal)</ital>
                    </link>
                    .
                  </paratext>
                </para>
                <para>
                  <paratext>
                    As to whether Related Parties are bound by or benefit from the settlement agreement, see 
                    <internal.reference refid="a237687">Drafting note, Parties</internal.reference>
                     above.
                  </paratext>
                </para>
                <para>
                  <paratext>
                    It could be argued that clause 6.2 is a statement of the obvious. However, it is also possible that "a reasonable, but pedantic, reader" of a settlement agreement with a release like the one in clause 5 might ask whether that release prevented any claim from being brought for breach of the settlement agreement itself and they might therefore find nothing unusual about that query being addressed expressly in clause 6.2 (
                    <link href="D-109-6964" style="ACTLinkPLCtoPLC">
                      <ital>29 Buckland Crescent Management Company Limited v Rojer Taylor White [2024] EWHC 1480 (Ch)</ital>
                    </link>
                     at paragraph 43).
                  </paratext>
                </para>
              </division>
            </drafting.note>
            <subclause1 id="a520358">
              <identifier>6.1</identifier>
              <para>
                <paratext>Each party agrees, on behalf of itself and on behalf of its Related Parties not to sue, commence, voluntarily aid in any way, prosecute or cause to be commenced or prosecuted against the other party or its Related Parties any action, suit or other proceeding concerning the Released Claims, in this jurisdiction or any other.</paratext>
              </para>
            </subclause1>
            <subclause1 id="a214352">
              <identifier>6.2</identifier>
              <para>
                <paratext>
                  <internal.reference refid="a631216">Clause 5</internal.reference>
                   and 
                  <internal.reference refid="a520358">Clause 6.1</internal.reference>
                   shall not apply to, and the Released Claims shall not include, any claims in respect of any breach of this agreement.
                </paratext>
              </para>
            </subclause1>
          </clause>
          <clause id="a872842">
            <identifier>7.</identifier>
            <head align="left" preservecase="true">
              <headtext>Costs</headtext>
            </head>
            <drafting.note id="a582398" jurisdiction="">
              <head align="left" preservecase="true">
                <headtext>Costs</headtext>
              </head>
              <division id="a000015" level="1">
                <para>
                  <paratext>Proper provision needs to be made for the parties' costs in relation to the dispute. This clause assumes that any payment in respect of costs is wrapped up in the payment figure in Clause 2. However, separate arrangements can be made here and may be necessary, for example, where settlement terms do not involve payment. All and any existing costs orders or agreements on costs, including those which have already been satisfied, should be considered and dealt with appropriately.</paratext>
                </para>
              </division>
            </drafting.note>
            <subclause1 id="a815390">
              <identifier>7.1</identifier>
              <para>
                <paratext>The parties shall each bear their own legal costs in relation to the Dispute and this agreement.</paratext>
              </para>
            </subclause1>
            <subclause1 id="a253325">
              <identifier>7.2</identifier>
              <para>
                <paratext>
                  This 
                  <internal.reference refid="a872842">Clause 7</internal.reference>
                   supersedes and overrides any and all previous agreements between the parties and any court order regarding the legal costs in relation to the Dispute [and the Proceedings] and in relation to this agreement (including the implementation of all matters provided by this agreement).
                </paratext>
              </para>
            </subclause1>
          </clause>
          <clause id="a673942">
            <identifier>8.</identifier>
            <head align="left" preservecase="true">
              <headtext>Warranties and authority</headtext>
            </head>
            <drafting.note id="a711077" jurisdiction="">
              <head align="left" preservecase="true">
                <headtext>Warranties and authority</headtext>
              </head>
              <division id="a000016" level="1">
                <para>
                  <paratext>Always consider carefully whether the signatory has the authority to bind your opponent. These clauses will give rise to a cause of action for breach of warranty if it transpires that a signing party lacked authority to settle, or assigned or otherwise transferred its interest in the claims being settled.</paratext>
                </para>
                <para>
                  <paratext>
                    Specific wording is included to confirm the contracting party has authority to conclude and perform the settlement agreement on behalf of Related Parties. As to whether Related Parties are bound by or benefit from the settlement agreement, see 
                    <internal.reference refid="a237687">Drafting note, Parties</internal.reference>
                     above.
                  </paratext>
                </para>
              </division>
            </drafting.note>
            <subclause1 id="a146512">
              <identifier>8.1</identifier>
              <para>
                <paratext>Each party warrants and represents that it has not sold, transferred, assigned or otherwise disposed of its interest in the Released Claims.</paratext>
              </para>
            </subclause1>
            <subclause1 id="a259961">
              <identifier>8.2</identifier>
              <para>
                <paratext>
                  Each party warrants and represents to the other with respect to itself that it has the full right, power and authority to execute, deliver and perform this agreement, including (without limitation) with respect to the release (
                  <internal.reference refid="a631216">Clause 5</internal.reference>
                  ), agreement not to sue (
                  <internal.reference refid="a637853">Clause 6</internal.reference>
                  ) and indemnities (
                  <internal.reference refid="a185192">Clause 9</internal.reference>
                  ) on behalf of Related Parties.
                </paratext>
              </para>
            </subclause1>
          </clause>
          <clause id="a185192">
            <identifier>9.</identifier>
            <head align="left" preservecase="true">
              <headtext>Indemnities</headtext>
            </head>
            <drafting.note id="a544221" jurisdiction="">
              <head align="left" preservecase="true">
                <headtext>Indemnities</headtext>
              </head>
              <division id="a000017" level="1">
                <para>
                  <paratext>This clause is necessary to provide a robust remedy (an indemnity) in the event that a party or its Related Parties (as defined) or any of them seek to bring a claim in respect of any of the released claims.</paratext>
                </para>
                <para>
                  <paratext>
                    As to whether Related Parties are bound by or benefit from the settlement agreement, see 
                    <internal.reference refid="a237687">Drafting note, Parties</internal.reference>
                     above.
                  </paratext>
                </para>
              </division>
            </drafting.note>
            <subclause1 id="a409500">
              <para>
                <paratext>Each party hereby indemnifies, and shall keep indemnified, the other party against all costs and damages (including the entire legal expenses of the parties) incurred in all future actions, claims and proceedings in respect of any of the Released Claims which it or its Related Parties or any of them may bring against the other party or its Related Parties or any of them.</paratext>
              </para>
            </subclause1>
          </clause>
          <clause id="a470997">
            <identifier>10.</identifier>
            <head align="left" preservecase="true">
              <headtext>No admission</headtext>
            </head>
            <drafting.note id="a819963" jurisdiction="">
              <head align="left" preservecase="true">
                <headtext>No admission</headtext>
              </head>
              <division id="a000018" level="1">
                <para>
                  <paratext>The first sentence in this clause is not essential. However, it is included to reflect that the compromise of a dispute is commonly driven by other considerations that go beyond simply an assessment of the merits of the claim or counterclaim. For example, the compromise of a dispute might be driven by a desire to avoid further costs or time being wasted or by a desire to do further business with the opponent or by other wider commercial considerations. Such considerations feed into the operative part of the provision which follows: that the settlement should not be construed as an admission of liability with respect to the matters in dispute.</paratext>
                </para>
              </division>
            </drafting.note>
            <subclause1 id="a755347">
              <para>
                <paratext>This agreement is entered into in connection with the compromise of disputed matters and in the light of other considerations. It is not, and shall not be represented or construed by the parties as, an admission of liability or wrongdoing on the part of either party to this agreement or any other person or entity.</paratext>
              </para>
            </subclause1>
          </clause>
          <clause id="a167875">
            <identifier>11.</identifier>
            <head align="left" preservecase="true">
              <headtext>Severability</headtext>
            </head>
            <subclause1 id="a195873">
              <para>
                <paratex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paratext>
              </para>
            </subclause1>
          </clause>
          <clause id="a377456">
            <identifier>12.</identifier>
            <head align="left" preservecase="true">
              <headtext>Entire agreement</headtext>
            </head>
            <drafting.note id="a839252" jurisdiction="">
              <head align="left" preservecase="true">
                <headtext>Entire Agreement (Clause 12.2)</headtext>
              </head>
              <division id="a000019" level="1">
                <para>
                  <paratext>
                    <link href="1-505-7731" style="ACTLinkPLCtoPLC">
                      <ital>Section 3</ital>
                    </link>
                     of the 
                    <link href="5-505-7729" style="ACTLinkPLCtoPLC">
                      <ital>Misrepresentation Act 1967</ital>
                    </link>
                    , with 
                    <link href="3-505-8744" style="ACTLinkPLCtoPLC">
                      <ital>section 11</ital>
                    </link>
                     of the 
                    <link href="7-505-7728" style="ACTLinkPLCtoPLC">
                      <ital>Unfair Contract terms Act 1977</ital>
                    </link>
                     (UCTA), render any clause which would exclude or restrict a party's liability for 
                    <link href="9-107-6848" style="ACTLinkPLCtoPLC">
                      <bold>
                        <ital>misrepresentations</ital>
                      </bold>
                    </link>
                     made prior to a contract ineffective, unless it satisfies the UCTA reasonableness test. At common law, parties cannot exclude liability for fraudulent misrepresentation. Clause 12.2 in the settlement agreement therefore seeks to do the following:
                  </paratext>
                </para>
                <list type="bulleted">
                  <list.item>
                    <para>
                      <paratext>Avoid falling foul of section 3 of the Misrepresentation Act 1967 by requiring the parties to acknowledge that they have not relied on any representation which is not set out in the agreement.</paratext>
                    </para>
                  </list.item>
                  <list.item>
                    <para>
                      <paratext>Exclude a party's liability for misrepresentation, other than for fraudulent misrepresentation.</paratext>
                    </para>
                  </list.item>
                </list>
                <para>
                  <paratext>A misrepresentation can also give rise to liability in negligence, so, even if you prevent the aggrieved party from claiming under the Misrepresentation Act 1967, they may be able to pursue a claim for negligent misstatement and therefore may still be able to claim damages on the tortious measure. Including the reference to negligent misstatement should prevent this (provided the exclusion satisfies the UCTA reasonableness test).</paratext>
                </para>
              </division>
            </drafting.note>
            <subclause1 id="a567129">
              <identifier>12.1</identifier>
              <para>
                <paratext>This agreement constitutes the entire agreement between the parties and supersedes and extinguishes all previous agreements, promises, assurances, warranties, representations and understandings between them, whether written or oral, relating to its subject matter.</paratext>
              </para>
            </subclause1>
            <subclause1 id="a466952">
              <identifier>12.2</identifier>
              <para>
                <paratex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paratext>
              </para>
            </subclause1>
          </clause>
          <clause id="a1033062">
            <identifier>13.</identifier>
            <head align="left" preservecase="true">
              <headtext>Confidentiality</headtext>
            </head>
            <drafting.note id="a697804" jurisdiction="">
              <head align="left" preservecase="true">
                <headtext>Confidentiality</headtext>
              </head>
              <division id="a000020" level="1">
                <para>
                  <paratext>Confidentiality provisions are a form of non-disclosure agreement (NDA). There is sensitivity around the use of NDAs, particularly in certain contexts, such as employment and sexual harassment cases. However, care needs to be taken when drafting confidentiality provisions in other contexts too, including in a settlement agreement between commercial parties. At its simplest, an NDA should never be used to cover up malpractice or a criminal offence.</paratext>
                </para>
                <para>
                  <paratext>
                    In March 2018, the Solicitors Regulation Authority (SRA) (which regulates solicitors) issued a 
                    <link href="https://www.sra.org.uk/solicitors/guidance/warning-notices/use-of-non-disclosure-agreements-ndas--warning-notice/" style="ACTLinkURL">
                      <ital>Warning notice</ital>
                    </link>
                     about the use of NDAs (updated in November 2020). In the notice, the SRA recognises that NDAs can legitimately be used to protect commercial interests and confidentiality. However, the SRA also says in the notice that they consider that NDAs would be improperly used if a practitioner sought to use it to prevent, impede or discourage a person from (among other things):
                  </paratext>
                </para>
                <list type="bulleted">
                  <list.item>
                    <para>
                      <paratext>Reporting misconduct or a serious breach of regulatory requirements to the SRA or any other body responsible for supervising or regulating the matters in question.</paratext>
                    </para>
                  </list.item>
                  <list.item>
                    <para>
                      <paratext>Reporting an offence to a law enforcement agency.</paratext>
                    </para>
                  </list.item>
                  <list.item>
                    <para>
                      <paratext>Co-operating with a criminal investigation or prosecution.</paratext>
                    </para>
                  </list.item>
                </list>
                <para>
                  <paratext>The Warning notice also makes it clear that the SRA would consider it improper to use an NDA to influence the substance of such a report, disclosure or co-operation.</paratext>
                </para>
                <para>
                  <paratext>
                    In 
                    <link href="https://www.sra.org.uk/sra/research-report/balancing-duties-litigation/" style="ACTLinkURL">
                      <ital>Balancing Duties in Litigation</ital>
                    </link>
                    , the SRA says that solicitors must not:
                  </paratext>
                </para>
                <list type="bulleted">
                  <list.item>
                    <para>
                      <paratext>Draw up clauses that go beyond what is necessary to settle the claim.</paratext>
                    </para>
                  </list.item>
                  <list.item>
                    <para>
                      <paratext>Threaten consequences that cannot be legally enforced.</paratext>
                    </para>
                  </list.item>
                  <list.item>
                    <para>
                      <paratext>Seek to prevent anyone from reporting offences or co-operating with a criminal investigation and other legal processes, including influencing the evidence they give.</paratext>
                    </para>
                  </list.item>
                </list>
                <para>
                  <paratext>
                    For a helpful and thought-provoking discussion by the SRA of the use of NDAs in commercial settlement agreements, see 
                    <link href="http://disputeresolutionblog.practicallaw.com/using-ndas-appropriately/" style="ACTLinkURL">
                      <ital>Blog post, Using NDAs appropriately</ital>
                    </link>
                    . For more information generally, and particularly in the context of employment matters, see 
                    <link href="w-022-4389" style="ACTLinkPLCtoPLC">
                      <ital>Practice note, Non-disclosure agreements (NDAs) and confidentiality clauses</ital>
                    </link>
                    .
                  </paratext>
                </para>
                <para>
                  <paratext>
                    On 28 March 2024, the government announced that legislation will be introduced "as soon as Parliamentary time allows" to clarify that non-disclosure agreements (NDAs) cannot be legally enforced if they prevent victims from disclosing relevant criminal conduct, reporting a crime, or accessing support or advice (see 
                    <link href="w-042-8519" style="ACTLinkPLCtoPLC">
                      <ital>Legal update, Legislation to be introduced to ensure NDAs that prevent criminal disclosures are unenforceable</ital>
                    </link>
                    ).
                  </paratext>
                </para>
                <para>
                  <paratext>
                    Foskett in 
                    <link href="https://uk.westlaw.com/Browse/Home/Books/Foskett?transitionType=Default&amp;amp;contextData=(sc.Search)&amp;amp;comp=books&amp;amp;navId=88DA88E9A2ACF6992FA2ED95E8702EA2" style="ACTLinkURL">
                      <ital>The Law and Practice of Compromise</ital>
                    </link>
                     (9th ed., Sweet &amp; Maxwell, at 
                    <link href="https://uk.westlaw.com/Document/I2009AF100DD911E8BB47F41946B6827E/View/FullText.html?originationContext=documenttoc&amp;amp;transitionType=CategoryPageItem&amp;amp;contextData=%28sc.Default%29&amp;amp;nortId=I2B2661400DD911E89A10AD8FEE6E29DD&amp;amp;navId=80F9A651EEC39F41F4C99D2424B086DB&amp;amp;comp=books" style="ACTLinkURL">
                      <ital>paragraph 4-77</ital>
                    </link>
                    ) explains further that a settlement of the civil aspects of a dispute that may give rise to both civil and criminal consequences will be void if it contains an express or implied term that no prosecution will be launched or that the relevant authorities will not be notified. In addition, the parties to such a settlement agreement could be guilty of conspiring to pervert the course of justice.
                  </paratext>
                </para>
                <para>
                  <paratext>All of that said, confidentiality is frequently a key element in a settlement and this clause is intended to provide a starting point by setting out an example of the kind of wording that might be used to protect confidentiality in the terms of the settlement as far as possible, whilst permitting certain exceptions and bearing in mind the SRA Warning notice.</paratext>
                </para>
                <para>
                  <paratext>You will need to think carefully about whether this clause needs to be adapted for your purposes. Relevant factors may include whether the other party is legally represented, and the relative bargaining power of the parties.</paratext>
                </para>
                <para>
                  <paratext>
                    It is unlikely that a confidentiality clause will be treated as a condition of the contract, breach of which would lead to repudiation, unless expressly so described or the nature of the contract leads to the conclusion that the parties must by necessary implication have intended that the innocent party would be discharged from further performance if the clause was breached (
                    <link href="D-104-4675" style="ACTLinkPLCtoPLC">
                      <ital>Carpediam Diamonds Ltd v JM Asscher [2019] EWHC 3311 (Comm)</ital>
                    </link>
                    ).
                  </paratext>
                </para>
                <para>
                  <paratext>The parties may wish to include an agreed form of wording to be used as a press release.</paratext>
                </para>
              </division>
            </drafting.note>
            <subclause1 id="a334731">
              <para>
                <paratext>The terms of this agreement, and the substance of all negotiations in connection with it, are confidential to the parties and their advisers, who shall not disclose them to, or otherwise communicate them to, any third party [without the written consent of the other party] other than:</paratext>
              </para>
              <subclause2 id="a695304">
                <identifier>(a)</identifier>
                <para>
                  <paratext>to the parties' respective auditors, insurers and lawyers on terms which preserve confidentiality; [and]</paratext>
                </para>
              </subclause2>
              <subclause2 id="a82424">
                <identifier>(b)</identifier>
                <para>
                  <paratext>pursuant to an order of a court of competent jurisdiction, or pursuant to any proper order or demand made by any competent authority or body where they are under a legal or regulatory obligation to make such a disclosure; [and]</paratext>
                </para>
              </subclause2>
              <subclause2 id="a366349">
                <identifier>(c)</identifier>
                <para>
                  <paratext>pursuant to any express requirement under the rules of any listing authority or stock exchange on which a party's shares are subject; [and]</paratext>
                </para>
              </subclause2>
              <subclause2 id="a389908">
                <identifier>(d)</identifier>
                <para>
                  <paratext>as far as necessary to implement and enforce any of the terms of this agreement; [and]</paratext>
                </para>
              </subclause2>
              <subclause2 id="a280504">
                <identifier>(e)</identifier>
                <para>
                  <paratext>to issue an agreed statement in the following terms (or terms substantially similar): [SET OUT TERMS OF AGREED STATEMENT].</paratext>
                </para>
              </subclause2>
              <para>
                <paratext>[The parties are entitled to confirm the fact of, but not the terms of, settlement of the Dispute.]</paratext>
              </para>
              <para>
                <paratext>
                  For the avoidance of doubt, nothing in this 
                  <internal.reference refid="a1033062">Clause 13</internal.reference>
                   prevents the parties from making a disclosure to a regulator regarding any alleged misconduct, wrongdoing or serious breach of regulatory requirements, or making a disclosure to any law enforcement agency regarding an alleged criminal offence or co-operating with any law enforcement agency regarding a criminal investigation or prosecution.
                </paratext>
              </para>
            </subclause1>
          </clause>
          <clause id="a77559">
            <identifier>14.</identifier>
            <head align="left" preservecase="true">
              <headtext>Governing law</headtext>
            </head>
            <drafting.note id="a1018244" jurisdiction="">
              <head align="left" preservecase="true">
                <headtext>Governing law</headtext>
              </head>
              <division id="a000021" level="1">
                <para>
                  <paratext>This precedent is drafted on the basis of the application of the law of England and Wales. If it is intended that the settlement agreement is to be governed by the law of another jurisdiction, appropriate advice should be sought with respect to the law of that jurisdiction.</paratext>
                </para>
                <para>
                  <paratext>
                    For more information on governing law clauses generally, see 
                    <link href="8-107-3850" style="ACTLinkPLCtoPLC">
                      <ital>Standard clauses, Governing law</ital>
                    </link>
                    .
                  </paratext>
                </para>
              </division>
            </drafting.note>
            <subclause1 id="a686394">
              <para>
                <paratext>This agreement and any dispute or claim (including non-contractual disputes or claims) arising out of or in connection with it or its subject matter or formation shall be governed by and construed in accordance with the law of England and Wales.</paratext>
              </para>
            </subclause1>
          </clause>
          <clause id="a984658">
            <identifier>15.</identifier>
            <head align="left" preservecase="true">
              <headtext>Jurisdiction</headtext>
            </head>
            <drafting.note id="a167783" jurisdiction="">
              <head align="left" preservecase="true">
                <headtext>Jurisdiction</headtext>
              </head>
              <division id="a000022" level="1">
                <para>
                  <paratext>
                    A jurisdiction clause should be included to identify the forum in which parties would like disputes under the settlement agreement to be resolved. The draft provides for disputes to be resolved in the courts of England and Wales. (In more complicated settlement agreements the parties may prefer other arrangements, for example, a tiered escalation clause, 
                    <link href="9-107-6594" style="ACTLinkPLCtoPLC">
                      <bold>
                        <ital>expert determination</ital>
                      </bold>
                    </link>
                     or arbitration.)
                  </paratext>
                </para>
                <para>
                  <paratext>
                    For more information on jurisdiction clauses, see 
                    <link href="9-522-6848" style="ACTLinkPLCtoPLC">
                      <ital>Standard clauses, Jurisdiction</ital>
                    </link>
                    .
                  </paratext>
                </para>
              </division>
            </drafting.note>
            <subclause1 id="a901799">
              <para>
                <paratext>
                  Each party irrevocably agrees that the courts of England and Wales shall have [exclusive 
                  <bold>OR</bold>
                   non-exclusive] jurisdiction to settle any dispute or claim (including non-contractual disputes or claims) arising out of or in connection with this agreement or its subject matter or formation.
                </paratext>
              </para>
            </subclause1>
          </clause>
          <clause id="a859886">
            <identifier>16.</identifier>
            <head align="left" preservecase="true">
              <headtext>Contracts (Rights of Third Parties) Act 1999</headtext>
            </head>
            <drafting.note id="a513631" jurisdiction="">
              <head align="left" preservecase="true">
                <headtext>Contracts (Rights of Third Parties) Act 1999</headtext>
              </head>
              <division id="a000023" level="1">
                <para>
                  <paratext>
                    Consider whether or not non-parties should have rights pertaining to the settlement. If they do have rights then specific reference to the 
                    <link href="9-505-5610" style="ACTLinkPLCtoPLC">
                      <ital>Contracts (Rights of Third Parties) Act 1999</ital>
                    </link>
                     will increase the likelihood of them being able to enforce them. At the same time, rights can accrue unintentionally under the Act, so if you do not want third parties to have rights under this settlement agreement, you should use wording, such as that in the alternative clause, excluding the effect of the Act.
                  </paratext>
                </para>
                <para>
                  <paratext>Clause 16.4 need only be used if third party rights have been granted under the 1999 Act. Delete it if all rights under the 1999 Act have been excluded. It excludes the third party's right of consent to rescission or a variation of the contract.</paratext>
                </para>
                <para>
                  <paratext>
                    See also 
                    <internal.reference refid="a237687">Drafting note, Parties</internal.reference>
                     on the extent to which Related Parties are bound by or benefit from the settlement agreement.
                  </paratext>
                </para>
              </division>
            </drafting.note>
            <subclause1 id="a870568">
              <identifier>16.1</identifier>
              <para>
                <paratext>
                  [[THIRD PARTY] may enforce the terms of this agreement, subject to and in accordance with this 
                  <internal.reference refid="a859886">Clause 16</internal.reference>
                   and the Contracts (Rights of Third Parties) Act 1999.
                </paratext>
              </para>
            </subclause1>
            <subclause1 id="a838524">
              <identifier>16.2</identifier>
              <para>
                <paratext>The parties may not rescind, or otherwise vary, the terms of this agreement in such a way as to extinguish or alter [THIRD PARTY'S] rights hereunder without the prior consent of [THIRD PARTY].</paratext>
              </para>
            </subclause1>
            <subclause1 id="a934656">
              <identifier>16.3</identifier>
              <para>
                <paratext>
                  Except as expressly provided in 
                  <internal.reference refid="a870568">Clause 16.1</internal.reference>
                  , a person who is not a party to this agreement shall not have any rights under the Contracts (Rights of Third Parties) Act 1999 to enforce any term of this agreement.
                </paratext>
              </para>
            </subclause1>
            <subclause1 id="a276803">
              <identifier>16.4</identifier>
              <para>
                <paratext>[The rights of the parties to terminate, rescind or agree any variation, waiver or settlement under this agreement are not subject to the consent of any other person.]</paratext>
              </para>
              <para>
                <paratext>
                  <bold>OR</bold>
                </paratext>
              </para>
              <para>
                <paratext>The parties agree that the terms of this agreement are not enforceable by any third party under the Contracts (Rights of Third Parties) Act 1999.]</paratext>
              </para>
            </subclause1>
          </clause>
          <clause id="a583943">
            <identifier>17.</identifier>
            <head align="left" preservecase="true">
              <headtext>Co-operation</headtext>
            </head>
            <drafting.note id="a954156" jurisdiction="">
              <head align="left" preservecase="true">
                <headtext>Co-operation</headtext>
              </head>
              <division id="a000024" level="1">
                <para>
                  <paratext>This clause is intended to create an obligation on each party to facilitate the proper operation of the agreement.</paratext>
                </para>
              </division>
            </drafting.note>
            <subclause1 id="a386814">
              <para>
                <paratext>The parties shall deliver or cause to be delivered such instruments and other documents at such times and places as are reasonably necessary or desirable, and shall take any other action reasonably requested by the other party for the purpose of putting this agreement into effect.</paratext>
              </para>
            </subclause1>
          </clause>
          <clause id="a525671">
            <identifier>18.</identifier>
            <head align="left" preservecase="true">
              <headtext>Counterparts</headtext>
            </head>
            <drafting.note id="a59833" jurisdiction="">
              <head align="left" preservecase="true">
                <headtext>Counterparts</headtext>
              </head>
              <division id="a000025" level="1">
                <para>
                  <paratext>
                    For more information, see 
                    <link href="1-107-3844" style="ACTLinkPLCtoPLC">
                      <ital>Standard clause, Counterparts</ital>
                    </link>
                    .
                  </paratext>
                </para>
                <para>
                  <paratext>If you choose to include Clause 18.2 to specify the means of transmission, the suggestion is that transmission takes place by email. This is because, in practice, transmission by email is the most common means of transmission, with PDF being the most commonly used digital format when implementing a virtual signing and closing. If you wish to have the option of using some other means of transmission, you will need to add this.</paratext>
                </para>
              </division>
            </drafting.note>
            <subclause1 id="a873932">
              <identifier>18.1</identifier>
              <para>
                <paratext>This agreement may be executed in any number of counterparts, each of which shall constitute a duplicate original, but all the counterparts shall together constitute the one agreement. For the purposes of completion, signatures by the parties' legal advisers shall be binding.</paratext>
              </para>
            </subclause1>
            <subclause1 id="a845580">
              <identifier>18.2</identifier>
              <para>
                <paratext>
                  [Transmission of [an executed counterpart of this agreement (but for the avoidance of doubt not just a signature page) 
                  <bold>OR</bold>
                   the executed signature page of a counterpart of this agreement] by email (in PDF, JPEG or other agreed format) shall take effect as the transmission of an executed "wet ink" counterpart of this agreement. [If this method of transmission is adopted, without prejudice to the validity of the agreement thus made, each party shall provide the other[s] with the "wet ink" hard copy original[s] of their counterpart within [TIME PERIOD] of completion.]
                </paratext>
              </para>
            </subclause1>
            <subclause1 id="a597636">
              <identifier>18.3</identifier>
              <para>
                <paratext>
                  [No counterpart shall be effective until each party has [provided 
                  <bold>OR</bold>
                   delivered] to the other[s] at least one executed counterpart.]
                </paratext>
              </para>
            </subclause1>
          </clause>
          <clause id="a61331">
            <identifier>19.</identifier>
            <head align="left" preservecase="true">
              <headtext>Variation</headtext>
            </head>
            <drafting.note id="a525766" jurisdiction="">
              <head align="left" preservecase="true">
                <headtext>Variation</headtext>
              </head>
              <division id="a000026" level="1">
                <para>
                  <paratext>
                    This clause sets out a prescribed procedure for the parties to follow in order to vary the agreement. It is intended to exclude the possibility of informal, and perhaps inadvertent, oral variations being made to an agreement, although there are doubts about the effectiveness of variation clauses (for more on this, see 
                    <link href="3-107-3838" style="ACTLinkPLCtoPLC">
                      <ital>Standard clause, Variation</ital>
                    </link>
                    ).
                  </paratext>
                </para>
              </division>
            </drafting.note>
            <subclause1 id="a984287">
              <para>
                <paratext>No variation of this agreement shall be effective unless it is in writing and signed by the parties (or their authorised representatives).</paratext>
              </para>
            </subclause1>
          </clause>
        </operative>
        <testimonium default="true" wording="contract">
          <para>
            <paratext>This agreement has been entered into on the date stated at the beginning of it.</paratext>
          </para>
        </testimonium>
        <signature default="true" pagebreak="true" signaturemessage="no">
          <para>
            <paratext>
              <table frame="none" pgwide="1">
                <tgroup cols="3">
                  <colspec colname="1" colnum="1" colwidth="33"/>
                  <colspec colname="2" colnum="2" colwidth="33"/>
                  <colspec colname="3" colnum="3" colwidth="33"/>
                  <tbody>
                    <row>
                      <entry valign="top">
                        <para align="left">
                          <paratext>Signed by [NAME OF DIRECTOR]  for and on behalf of [NAME OF PARTY A]</paratext>
                        </para>
                      </entry>
                      <entry valign="top">
                        <para>
                          <paratext/>
                        </para>
                      </entry>
                      <entry valign="top">
                        <para align="left">
                          <paratext>....................</paratext>
                        </para>
                        <para align="left">
                          <paratext>Director</paratext>
                        </para>
                      </entry>
                    </row>
                    <row>
                      <entry valign="top">
                        <para>
                          <paratext/>
                        </para>
                      </entry>
                    </row>
                    <row>
                      <entry nameend="3" namest="1" valign="top">
                        <para>
                          <paratext/>
                        </para>
                      </entry>
                    </row>
                    <row>
                      <entry valign="top">
                        <para align="left">
                          <paratext>Signed by [NAME OF DIRECTOR]  for and on behalf of [NAME OF PARTY B]</paratext>
                        </para>
                      </entry>
                      <entry valign="top">
                        <para>
                          <paratext/>
                        </para>
                      </entry>
                      <entry valign="top">
                        <para align="left">
                          <paratext>....................</paratext>
                        </para>
                        <para align="left">
                          <paratext>Director</paratext>
                        </para>
                      </entry>
                    </row>
                    <row>
                      <entry valign="top">
                        <para>
                          <paratext/>
                        </para>
                      </entry>
                    </row>
                    <row>
                      <entry nameend="3" namest="1" valign="top">
                        <para>
                          <paratext/>
                        </para>
                      </entry>
                    </row>
                  </tbody>
                </tgroup>
              </table>
            </paratext>
          </para>
          <drafting.note id="a922429" jurisdiction="">
            <head align="left" preservecase="true">
              <headtext>Consent order/Tomlin order and dismissal order (Annexes)</headtext>
            </head>
            <division id="a000027" level="1">
              <para>
                <paratext>
                  The annexed dismissal order and Tomlin order can be found in the related content box in this document. For another example of a consent order, see 
                  <link href="5-205-2990" style="ACTLinkPLCtoPLC">
                    <ital>Standard document, Settlement: Consent/Tomlin Order (with drafting notes)</ital>
                  </link>
                  , which has integrated drafting notes, providing more information on Tomlin orders generally. The integrated drafting notes explain that the agreed terms can be set out in a schedule at the end of the Tomlin order, in a settlement agreement that is annexed to the order or in a separate document, and what needs to be done where the agreed terms are confidential.
                </paratext>
              </para>
            </division>
          </drafting.note>
        </signature>
        <appendix id="a830453">
          <identifier>ANNEX A</identifier>
          <head align="left" preservecase="true">
            <headtext>Tomlin order</headtext>
          </head>
          <para>
            <paratext>[INSERT TOMLIN ORDER]</paratext>
          </para>
          <para>
            <paratext>
              <bold>OR</bold>
            </paratext>
          </para>
        </appendix>
        <appendix id="a685277">
          <identifier>ANNEX B</identifier>
          <head align="left" preservecase="true">
            <headtext>Dismissal order</headtext>
          </head>
          <para>
            <paratext>[INSERT DISMISSAL ORDER]</paratext>
          </para>
        </appendix>
      </body>
      <rev.history>
        <rev.item>
          <rev.title>Buckland Crescent Management Company Limited v Rojer Taylor White [2024] EWHC 1480 (June 2024)</rev.title>
          <rev.date>20240624</rev.date>
          <rev.author>PL DR</rev.author>
          <rev.body>
            <division id="a000001" level="1">
              <para>
                <paratext>
                  We have updated 
                  <internal.reference refid="a774662">Drafting note, Agreement not to sue</internal.reference>
                   to refer to this decision.
                </paratext>
              </para>
            </division>
          </rev.body>
        </rev.item>
        <rev.item>
          <rev.title>Related parties</rev.title>
          <rev.date>20220308</rev.date>
          <rev.author>PL DR</rev.author>
          <rev.body>
            <division id="a000002" level="1">
              <para>
                <paratext>
                  We have updated 
                  <internal.reference refid="a237687">Drafting note, Parties</internal.reference>
                   to add more information about related parties.
                </paratext>
              </para>
            </division>
          </rev.body>
        </rev.item>
        <rev.item>
          <rev.title>Safe-T-Systems Holdings Ltd and another v ILR Safety CC [2021] EWHC 2992</rev.title>
          <rev.date>20211201</rev.date>
          <rev.author>PL DR</rev.author>
          <rev.body>
            <division id="a000003" level="1">
              <para>
                <paratext>
                  We have updated 
                  <internal.reference refid="a61604">Drafting note, Release</internal.reference>
                   to refer to this decision.
                </paratext>
              </para>
            </division>
          </rev.body>
        </rev.item>
        <rev.item>
          <rev.title>Climate-aligned clauses</rev.title>
          <rev.date>20211018</rev.date>
          <rev.author>PL DR</rev.author>
          <rev.body>
            <division id="a000004" level="1">
              <para>
                <paratext>
                  We have added a new section to 
                  <internal.reference refid="a425906">Drafting note, General document notes</internal.reference>
                   on 
                  <internal.reference refid="a202154">Drafting note, Climate-aligned clauses</internal.reference>
                   which refers to the possibility of using such clauses in a settlement agreement.
                </paratext>
              </para>
            </division>
          </rev.body>
        </rev.item>
        <rev.item>
          <rev.title>Counterparts drafting note and clause updated</rev.title>
          <rev.date>20210824</rev.date>
          <rev.author>PL DR</rev.author>
          <rev.body>
            <division id="a000005" level="1">
              <para>
                <paratext>
                  We have updated the 
                  <internal.reference refid="a59833">Drafting note, Counterparts</internal.reference>
                   to acknowledge that transmission of counterparts is generally done by email rather than fax, and updated the 
                  <internal.reference refid="a845580">clause 18.2</internal.reference>
                   to remove the reference to fax.
                </paratext>
              </para>
            </division>
          </rev.body>
        </rev.item>
        <rev.item>
          <rev.title>R v Jones (Sally Ann) [2021] EWCA Crim 1195,</rev.title>
          <rev.date>20210812</rev.date>
          <rev.author>PL DR</rev.author>
          <rev.body>
            <division id="a000006" level="1">
              <para>
                <paratext>
                  We have updated the 
                  <internal.reference refid="a774662">Drafting note, Agreement not to sue</internal.reference>
                   to refer to this decision.
                </paratext>
              </para>
            </division>
          </rev.body>
        </rev.item>
      </rev.history>
    </standard.doc>
  </n-docbody>
</n-document>
</file>

<file path=customXml/item7.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8.xml><?xml version="1.0" encoding="utf-8"?>
<p:properties xmlns:p="http://schemas.microsoft.com/office/2006/metadata/properties" xmlns:xsi="http://www.w3.org/2001/XMLSchema-instance" xmlns:pc="http://schemas.microsoft.com/office/infopath/2007/PartnerControls">
  <documentManagement>
    <lcf76f155ced4ddcb4097134ff3c332f xmlns="47158fbb-d18a-449f-b04b-816fa6845dde">
      <Terms xmlns="http://schemas.microsoft.com/office/infopath/2007/PartnerControls"/>
    </lcf76f155ced4ddcb4097134ff3c332f>
    <TaxCatchAll xmlns="ff5de01b-eacf-4d35-bc21-0ba5f36da215" xsi:nil="true"/>
  </documentManagement>
</p:properties>
</file>

<file path=customXml/itemProps1.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B25F7EF-91F0-4419-9593-EE6693C5F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58fbb-d18a-449f-b04b-816fa6845dde"/>
    <ds:schemaRef ds:uri="ff5de01b-eacf-4d35-bc21-0ba5f36da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08E4BE-1992-4998-8F1B-FCD0311DE862}">
  <ds:schemaRefs>
    <ds:schemaRef ds:uri="Microsoft.SharePoint.Taxonomy.ContentTypeSync"/>
  </ds:schemaRefs>
</ds:datastoreItem>
</file>

<file path=customXml/itemProps4.xml><?xml version="1.0" encoding="utf-8"?>
<ds:datastoreItem xmlns:ds="http://schemas.openxmlformats.org/officeDocument/2006/customXml" ds:itemID="{22CAC2C3-862E-4AF5-B991-0EDA5FEF0786}">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46B3D790-8E9B-4BC1-8265-023DA30710AF}">
  <ds:schemaRefs>
    <ds:schemaRef ds:uri="http://schemas.microsoft.com/sharepoint/v3/contenttype/forms"/>
  </ds:schemaRefs>
</ds:datastoreItem>
</file>

<file path=customXml/itemProps6.xml><?xml version="1.0" encoding="utf-8"?>
<ds:datastoreItem xmlns:ds="http://schemas.openxmlformats.org/officeDocument/2006/customXml" ds:itemID="{BBBB6473-5DEB-4AF9-AFBC-4254E81C2485}">
  <ds:schemaRefs>
    <ds:schemaRef ds:uri="http://www.w3.org/2001/XMLSchema"/>
  </ds:schemaRefs>
</ds:datastoreItem>
</file>

<file path=customXml/itemProps7.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8.xml><?xml version="1.0" encoding="utf-8"?>
<ds:datastoreItem xmlns:ds="http://schemas.openxmlformats.org/officeDocument/2006/customXml" ds:itemID="{37288AD0-256E-4AD8-8487-9F5B296381E4}">
  <ds:schemaRefs>
    <ds:schemaRef ds:uri="http://schemas.microsoft.com/office/2006/metadata/properties"/>
    <ds:schemaRef ds:uri="http://schemas.microsoft.com/office/infopath/2007/PartnerControls"/>
    <ds:schemaRef ds:uri="47158fbb-d18a-449f-b04b-816fa6845dde"/>
    <ds:schemaRef ds:uri="ff5de01b-eacf-4d35-bc21-0ba5f36da215"/>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7415</Words>
  <Characters>38041</Characters>
  <Application>Microsoft Office Word</Application>
  <DocSecurity>0</DocSecurity>
  <Lines>745</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Colwell, Harry</dc:creator>
  <cp:lastModifiedBy>StQuintin, Daniel</cp:lastModifiedBy>
  <cp:revision>4</cp:revision>
  <cp:lastPrinted>2026-01-21T11:19:00Z</cp:lastPrinted>
  <dcterms:created xsi:type="dcterms:W3CDTF">2026-01-21T16:31:00Z</dcterms:created>
  <dcterms:modified xsi:type="dcterms:W3CDTF">2026-03-03T07:53:00Z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fec6b3-91e0-4cb4-97f0-3b695e194c32_Enabled">
    <vt:lpwstr>true</vt:lpwstr>
  </property>
  <property fmtid="{D5CDD505-2E9C-101B-9397-08002B2CF9AE}" pid="3" name="MSIP_Label_b4fec6b3-91e0-4cb4-97f0-3b695e194c32_SetDate">
    <vt:lpwstr>2025-08-11T12:13:55Z</vt:lpwstr>
  </property>
  <property fmtid="{D5CDD505-2E9C-101B-9397-08002B2CF9AE}" pid="4" name="MSIP_Label_b4fec6b3-91e0-4cb4-97f0-3b695e194c32_Method">
    <vt:lpwstr>Standard</vt:lpwstr>
  </property>
  <property fmtid="{D5CDD505-2E9C-101B-9397-08002B2CF9AE}" pid="5" name="MSIP_Label_b4fec6b3-91e0-4cb4-97f0-3b695e194c32_Name">
    <vt:lpwstr>b4fec6b3-91e0-4cb4-97f0-3b695e194c32</vt:lpwstr>
  </property>
  <property fmtid="{D5CDD505-2E9C-101B-9397-08002B2CF9AE}" pid="6" name="MSIP_Label_b4fec6b3-91e0-4cb4-97f0-3b695e194c32_SiteId">
    <vt:lpwstr>7ea6412d-a887-4942-951c-cd722827b11a</vt:lpwstr>
  </property>
  <property fmtid="{D5CDD505-2E9C-101B-9397-08002B2CF9AE}" pid="7" name="MSIP_Label_b4fec6b3-91e0-4cb4-97f0-3b695e194c32_ActionId">
    <vt:lpwstr>ef9b9738-72f0-4e71-82af-260e935d6f67</vt:lpwstr>
  </property>
  <property fmtid="{D5CDD505-2E9C-101B-9397-08002B2CF9AE}" pid="8" name="MSIP_Label_b4fec6b3-91e0-4cb4-97f0-3b695e194c32_ContentBits">
    <vt:lpwstr>0</vt:lpwstr>
  </property>
  <property fmtid="{D5CDD505-2E9C-101B-9397-08002B2CF9AE}" pid="9" name="MSIP_Label_b4fec6b3-91e0-4cb4-97f0-3b695e194c32_Tag">
    <vt:lpwstr>10, 3, 0, 1</vt:lpwstr>
  </property>
  <property fmtid="{D5CDD505-2E9C-101B-9397-08002B2CF9AE}" pid="10" name="ContentTypeId">
    <vt:lpwstr>0x010100D6E2577435D859428A31545F4A36AED8</vt:lpwstr>
  </property>
</Properties>
</file>